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bookmarkStart w:id="6" w:name="_GoBack"/>
      <w:bookmarkEnd w:id="6"/>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附件1</w:t>
      </w:r>
    </w:p>
    <w:p>
      <w:pPr>
        <w:pStyle w:val="2"/>
        <w:rPr>
          <w:rFonts w:hint="eastAsia"/>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黑体" w:hAnsi="黑体" w:eastAsia="黑体" w:cs="黑体"/>
          <w:color w:val="000000"/>
          <w:sz w:val="32"/>
          <w:szCs w:val="32"/>
        </w:rPr>
      </w:pPr>
      <w:bookmarkStart w:id="0" w:name="_Toc119610212"/>
      <w:bookmarkStart w:id="1" w:name="_Toc115116692"/>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数据治理服务</w:t>
      </w:r>
      <w:bookmarkEnd w:id="0"/>
      <w:bookmarkEnd w:id="1"/>
    </w:p>
    <w:p>
      <w:pPr>
        <w:pStyle w:val="7"/>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数据治理是对同步回来至“广元市专区”中数据中心数据库的所存数据进行治理，不涉及跨数据中心进行数据治理。</w:t>
      </w:r>
    </w:p>
    <w:p>
      <w:pPr>
        <w:pStyle w:val="7"/>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在“数据治理平台”里完成数据分析和校验，得到数据治理点，分析之后的数据治理点即表示对应数据存在问题并需要治理；再将数据导出；最后将导出数据执行数据修复。具体步骤如下：</w:t>
      </w:r>
    </w:p>
    <w:p>
      <w:pPr>
        <w:pStyle w:val="1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480" w:leftChars="0"/>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rPr>
        <w:t>数据分析和校验</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通过“数据治理平台”进行具体分析和校验，综合对数据质量进行评估，评估后的结果，作为数据治理点。</w:t>
      </w:r>
    </w:p>
    <w:p>
      <w:pPr>
        <w:pStyle w:val="1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480" w:leftChars="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（二）数据导出</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将待修复治理点数据以数据文件方式，在医保局允许及监管下、遵照相关法律法规。以离线数据文件方式提取出数据，格式为CSV/TXT/XLSX/DMP等。</w:t>
      </w:r>
    </w:p>
    <w:p>
      <w:pPr>
        <w:pStyle w:val="14"/>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480" w:leftChars="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（三）数据修复</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提交省局进行数据修复，实现数据治理工作。</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通过不断迭代进行的数据治理工作，提升数据质量，保障各类数据服务基础能力。</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部分数据分析/治理点如下，包括但不限于：</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市户籍及常住人口信息分析点/治理点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全市个人基本信息进行结构性分析，通过对个人的户籍类别、户籍地址、常住地址展开构成结构分析，研判本市各地区户籍人员、常驻人口的构成情况，人员分布情况及人员流动情况，掌握全市人口的结构特征。具体分析包括以下方面：</w:t>
      </w:r>
    </w:p>
    <w:p>
      <w:pPr>
        <w:pStyle w:val="14"/>
        <w:pageBreakBefore w:val="0"/>
        <w:widowControl w:val="0"/>
        <w:numPr>
          <w:ilvl w:val="0"/>
          <w:numId w:val="3"/>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对全市人员的户籍类别进行构成对比分析，把握人员的户籍总体构成情况。</w:t>
      </w:r>
    </w:p>
    <w:p>
      <w:pPr>
        <w:pStyle w:val="14"/>
        <w:pageBreakBefore w:val="0"/>
        <w:widowControl w:val="0"/>
        <w:numPr>
          <w:ilvl w:val="0"/>
          <w:numId w:val="3"/>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对全市人员的常驻地址进行构成对比分析，研究全市人口在各地区的分布情况。</w:t>
      </w:r>
    </w:p>
    <w:p>
      <w:pPr>
        <w:pStyle w:val="14"/>
        <w:pageBreakBefore w:val="0"/>
        <w:widowControl w:val="0"/>
        <w:numPr>
          <w:ilvl w:val="0"/>
          <w:numId w:val="3"/>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根据人员的户籍地址和常驻地址展开对比分析，分析全市人员的流动情况。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单位参保情况分析点/治理点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选取年月，对该年月的参保单位情况进行结构性、趋势性、占比性分析，掌握全市单位参保整体情况，研判单位参保变化趋势。具体分析包括以下内容：</w:t>
      </w:r>
    </w:p>
    <w:p>
      <w:pPr>
        <w:pStyle w:val="14"/>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对全市参保单位数据按照险种类别进行分类分析，掌握当期总参保单位数量和各险种参保单位数量的总体情况。</w:t>
      </w:r>
    </w:p>
    <w:p>
      <w:pPr>
        <w:pStyle w:val="14"/>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对全市当年单位参保数量按月展示变化趋势，并在此基础上进行同比环比分析，研判全市参保单位的变化趋势。</w:t>
      </w:r>
    </w:p>
    <w:p>
      <w:pPr>
        <w:pStyle w:val="14"/>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对所选数据期别的全市参保单位数据，按照险种进行占比分析，掌握各险种单位参保数占参保单位总数的比例。</w:t>
      </w:r>
    </w:p>
    <w:p>
      <w:pPr>
        <w:pStyle w:val="14"/>
        <w:pageBreakBefore w:val="0"/>
        <w:widowControl w:val="0"/>
        <w:numPr>
          <w:ilvl w:val="0"/>
          <w:numId w:val="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对所选数据期别的全市参保单位数据，按照地区进行占比分析，掌握各地区单位参保数占参保单位总数的比例。</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参保人数情况分析点/治理点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选取年月，对该年月的参保人数情况进行结构性、趋势性、占比性分析，掌握全市参保人员的整体情况，研判参保人员变化趋势。具体分析包括以下内容：</w:t>
      </w:r>
    </w:p>
    <w:p>
      <w:pPr>
        <w:pStyle w:val="14"/>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对全市参保人员数据按照险种类别进行分类分析，掌握当期总参保人员数量和各险种参保人员数量的总体情况。</w:t>
      </w:r>
    </w:p>
    <w:p>
      <w:pPr>
        <w:pStyle w:val="14"/>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对全市当年参保人员数量按月展示变化趋势，并在此基础上进行同比环比分析，研判全市参保人员的变化趋势。</w:t>
      </w:r>
    </w:p>
    <w:p>
      <w:pPr>
        <w:pStyle w:val="14"/>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对所选数据期别的全市参保人员数据，按照险种进行占比分析，掌握各险种人员参保数占参保人员总数的比例。</w:t>
      </w:r>
    </w:p>
    <w:p>
      <w:pPr>
        <w:pStyle w:val="14"/>
        <w:pageBreakBefore w:val="0"/>
        <w:widowControl w:val="0"/>
        <w:numPr>
          <w:ilvl w:val="0"/>
          <w:numId w:val="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对所选数据期别的全市参保人员数据，按照地区进行占比分析，掌握各地区人员参保数占参保人员总数的比例。</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医疗保险缴费基数情况分析点/治理点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选取年月，对该年月的医疗保险缴费基数情况进行统计性、趋势性、分布、排名分析，掌握全市医疗保险缴费基数整体情况，研判医疗保险缴费基数的变化趋势。具体分析包括以下内容：</w:t>
      </w:r>
    </w:p>
    <w:p>
      <w:pPr>
        <w:pStyle w:val="14"/>
        <w:pageBreakBefore w:val="0"/>
        <w:widowControl w:val="0"/>
        <w:numPr>
          <w:ilvl w:val="0"/>
          <w:numId w:val="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根据全市医疗保险缴费基数数据，按照当年人均缴费基数、当期人均缴费基数、比去年同期增长、同比增长、比今年上期增长、环比增长进行统计，掌握全市医疗保险缴费基数整体概况。</w:t>
      </w:r>
    </w:p>
    <w:p>
      <w:pPr>
        <w:pStyle w:val="14"/>
        <w:pageBreakBefore w:val="0"/>
        <w:widowControl w:val="0"/>
        <w:numPr>
          <w:ilvl w:val="0"/>
          <w:numId w:val="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对全市医疗保险当年人均个人缴费基数、同比、环比按月展示变化趋势，研判全市医疗保险人均缴费基数变化趋势。</w:t>
      </w:r>
    </w:p>
    <w:p>
      <w:pPr>
        <w:pStyle w:val="14"/>
        <w:pageBreakBefore w:val="0"/>
        <w:widowControl w:val="0"/>
        <w:numPr>
          <w:ilvl w:val="0"/>
          <w:numId w:val="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对所选数据期别的全市医疗保险缴费基数数据，按照缴费基数分段进行分布分析，掌握全市缴费基数分段的分布情况。</w:t>
      </w:r>
    </w:p>
    <w:p>
      <w:pPr>
        <w:pStyle w:val="14"/>
        <w:pageBreakBefore w:val="0"/>
        <w:widowControl w:val="0"/>
        <w:numPr>
          <w:ilvl w:val="0"/>
          <w:numId w:val="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对所选数据期别的全市医疗保险缴费基数数据，按照地区进行人均缴费基数Top10地区排名分析，掌握人均缴费基数的地区排名榜。</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医疗保险参保征缴情况分析点/治理点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选取年月，对该年月的医疗保险参保征缴情况进行统计性、趋势性、分布性分析，掌握全市医疗保险参保征缴整体情况，研判医疗保险参保征缴变化趋势。具体分析包括以下内容：</w:t>
      </w:r>
    </w:p>
    <w:p>
      <w:pPr>
        <w:pStyle w:val="14"/>
        <w:pageBreakBefore w:val="0"/>
        <w:widowControl w:val="0"/>
        <w:numPr>
          <w:ilvl w:val="0"/>
          <w:numId w:val="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根据全市医疗保险参保征缴情况数据，按照实缴当月金额、同比增长、环比增长、统筹金额、个人账户金额、征缴率进行统计，掌握全市医疗保险参保征缴整体概况。</w:t>
      </w:r>
    </w:p>
    <w:p>
      <w:pPr>
        <w:pStyle w:val="14"/>
        <w:pageBreakBefore w:val="0"/>
        <w:widowControl w:val="0"/>
        <w:numPr>
          <w:ilvl w:val="0"/>
          <w:numId w:val="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对全市当年统筹账户缴费金额、个人账户缴费收入、当月实缴金额按月展示变化趋势，研判全市医疗保险参保缴费的变化趋势。</w:t>
      </w:r>
    </w:p>
    <w:p>
      <w:pPr>
        <w:pStyle w:val="14"/>
        <w:pageBreakBefore w:val="0"/>
        <w:widowControl w:val="0"/>
        <w:numPr>
          <w:ilvl w:val="0"/>
          <w:numId w:val="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对所选数据期别的全市医疗保险参保征缴金额，按照单位类型进行排名分析，掌握全市医疗保险缴费金额单位类型排名情况。</w:t>
      </w:r>
    </w:p>
    <w:p>
      <w:pPr>
        <w:pStyle w:val="14"/>
        <w:pageBreakBefore w:val="0"/>
        <w:widowControl w:val="0"/>
        <w:numPr>
          <w:ilvl w:val="0"/>
          <w:numId w:val="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对所选数据期别的全市医疗保险参保征缴数据，按照地区进行分布分析，掌握各地区医疗保险参保征缴金额在总金额中的分布情况。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医疗保险个人账户情况分析点/治理点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选取年月，对该年月的医疗保险个人账户情况进行统计性、趋势性、分布性分析，掌握全市医疗保险个人账户整体情况，研判医疗保险个人账户变化趋势。具体分析包括以下内容：</w:t>
      </w:r>
    </w:p>
    <w:p>
      <w:pPr>
        <w:pStyle w:val="14"/>
        <w:pageBreakBefore w:val="0"/>
        <w:widowControl w:val="0"/>
        <w:numPr>
          <w:ilvl w:val="0"/>
          <w:numId w:val="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医疗保险个人账户情况数据，按照个人账户当期收入、同比（个人账户当期收入）、环比（个人账户当期收入）、个人账户累计结余、同比（个人账户累计结余）、环比（个人账户累计结余）进行统计，掌握全市医疗保险个人账户整体概况。</w:t>
      </w:r>
    </w:p>
    <w:p>
      <w:pPr>
        <w:pStyle w:val="14"/>
        <w:pageBreakBefore w:val="0"/>
        <w:widowControl w:val="0"/>
        <w:numPr>
          <w:ilvl w:val="0"/>
          <w:numId w:val="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对全市当年个人账户缴费收入按月展示变化趋势，研判全市医疗保险个人账户缴费收入的变化趋势。</w:t>
      </w:r>
    </w:p>
    <w:p>
      <w:pPr>
        <w:pStyle w:val="14"/>
        <w:pageBreakBefore w:val="0"/>
        <w:widowControl w:val="0"/>
        <w:numPr>
          <w:ilvl w:val="0"/>
          <w:numId w:val="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对所选数据期别的全市医疗保险个人账户支出信息，按照地区进行占比分布分析，掌握全市各地医疗保险个人账户支出占比情况。</w:t>
      </w:r>
    </w:p>
    <w:p>
      <w:pPr>
        <w:pStyle w:val="14"/>
        <w:pageBreakBefore w:val="0"/>
        <w:widowControl w:val="0"/>
        <w:numPr>
          <w:ilvl w:val="0"/>
          <w:numId w:val="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对所选数据期别的全市医疗保险个人账户结余数据，按照地区进行占比分布分析，掌握各地区医疗保险个人账户结余的分布情况。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定点医疗机构情况分析点/治理点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选取年月，对该年月的定点医疗机构情况进行统计性、趋势性、分布性分析，掌握全市定点医疗机构的整体情况，研判定点医疗机构数量的变化趋势。具体分析包括以下内容：</w:t>
      </w:r>
    </w:p>
    <w:p>
      <w:pPr>
        <w:pStyle w:val="14"/>
        <w:pageBreakBefore w:val="0"/>
        <w:widowControl w:val="0"/>
        <w:numPr>
          <w:ilvl w:val="0"/>
          <w:numId w:val="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定点医疗机构数据，按照医疗机构数、同比增长、环比增长、一级甲等医疗机构数、一级乙等医疗机构数、一级丙等医疗机构数、二级甲等医疗机构数、二级乙等医疗机构数、二级丙等医疗机构数、三级甲等医疗机构数、三级乙等医疗机构数、三级丙等医疗机构数进行统计，掌握全市定点医疗机构的整体概况。</w:t>
      </w:r>
    </w:p>
    <w:p>
      <w:pPr>
        <w:pStyle w:val="14"/>
        <w:pageBreakBefore w:val="0"/>
        <w:widowControl w:val="0"/>
        <w:numPr>
          <w:ilvl w:val="0"/>
          <w:numId w:val="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对全市定点医疗机构数、同比、环比按季度展示变化趋势，研判全市定点医疗机构数的变化趋势。</w:t>
      </w:r>
    </w:p>
    <w:p>
      <w:pPr>
        <w:pStyle w:val="14"/>
        <w:pageBreakBefore w:val="0"/>
        <w:widowControl w:val="0"/>
        <w:numPr>
          <w:ilvl w:val="0"/>
          <w:numId w:val="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对所选数据期别的全市定点医疗机构信息，按照医疗机构级别进行地区服务人数排名分析，掌握全市各级别医疗机构在各地的平均服务人数排名。</w:t>
      </w:r>
    </w:p>
    <w:p>
      <w:pPr>
        <w:pStyle w:val="14"/>
        <w:pageBreakBefore w:val="0"/>
        <w:widowControl w:val="0"/>
        <w:numPr>
          <w:ilvl w:val="0"/>
          <w:numId w:val="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对所选数据期别的全市定点医疗机构信息，按照地区进行分布分析，掌握各地区定点医疗机构数量占总定点医疗机构数量的分布情况。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医疗费用支出总情况分析点/治理点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选取年月，对该年月的医疗费用支出情况进行统计性、趋势性、分布性分析，掌握全市医疗费用支出的整体情况，研判医疗费用支出的变化趋势。具体分析包括以下内容：</w:t>
      </w:r>
    </w:p>
    <w:p>
      <w:pPr>
        <w:pStyle w:val="14"/>
        <w:pageBreakBefore w:val="0"/>
        <w:widowControl w:val="0"/>
        <w:numPr>
          <w:ilvl w:val="0"/>
          <w:numId w:val="10"/>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根据全市医疗费用支出数据，按照医疗总费用、同比增长、环比增长、门诊费用、住院费用、慢性病费用进行统计，掌握全市医疗费用支出的整体概况。</w:t>
      </w:r>
    </w:p>
    <w:p>
      <w:pPr>
        <w:pStyle w:val="14"/>
        <w:pageBreakBefore w:val="0"/>
        <w:widowControl w:val="0"/>
        <w:numPr>
          <w:ilvl w:val="0"/>
          <w:numId w:val="10"/>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对全市就诊总费用、个人自付费用按月展示变化趋势，研判全市医疗费用的变化趋势。</w:t>
      </w:r>
    </w:p>
    <w:p>
      <w:pPr>
        <w:pStyle w:val="14"/>
        <w:pageBreakBefore w:val="0"/>
        <w:widowControl w:val="0"/>
        <w:numPr>
          <w:ilvl w:val="0"/>
          <w:numId w:val="10"/>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对所选数据期别的全市医疗费用支出信息，按照医疗支付类别进行占比分析，掌握全市医疗支付类别费用占比情况。</w:t>
      </w:r>
    </w:p>
    <w:p>
      <w:pPr>
        <w:pStyle w:val="14"/>
        <w:pageBreakBefore w:val="0"/>
        <w:widowControl w:val="0"/>
        <w:numPr>
          <w:ilvl w:val="0"/>
          <w:numId w:val="10"/>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对所选数据期别的全市医疗费用支出信息，按照地区进行分布分析，掌握各地区医疗费用支出金额占总医疗费用支出金额的比例分布情况。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住院医疗费用支出情况分析点/治理点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选取年月，对该年月的住院医疗费用支出情况进行统计性、趋势性、分布性分析，掌握全市住院医疗费用支出的整体情况，研判住院医疗费用支出的变化趋势。具体分析包括以下内容：</w:t>
      </w:r>
    </w:p>
    <w:p>
      <w:pPr>
        <w:pStyle w:val="14"/>
        <w:pageBreakBefore w:val="0"/>
        <w:widowControl w:val="0"/>
        <w:numPr>
          <w:ilvl w:val="0"/>
          <w:numId w:val="11"/>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根据全市住院医疗费用支出数据，按照住院总费用、同比增长、环比增长、次均就诊费用、个人自费费用进行统计，掌握全市住院医疗费用支出的整体概况。</w:t>
      </w:r>
    </w:p>
    <w:p>
      <w:pPr>
        <w:pStyle w:val="14"/>
        <w:pageBreakBefore w:val="0"/>
        <w:widowControl w:val="0"/>
        <w:numPr>
          <w:ilvl w:val="0"/>
          <w:numId w:val="11"/>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对全市住院总费用、统筹支付费用、个人自付费用、个人自费费用按月展示变化趋势，研判全市住院医疗费用的变化趋势。</w:t>
      </w:r>
    </w:p>
    <w:p>
      <w:pPr>
        <w:pStyle w:val="14"/>
        <w:pageBreakBefore w:val="0"/>
        <w:widowControl w:val="0"/>
        <w:numPr>
          <w:ilvl w:val="0"/>
          <w:numId w:val="11"/>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对所选数据期别的全市住院医疗费用支出信息，按照医院等级类别进行占比分析，掌握全市医院等级费用占比情况。</w:t>
      </w:r>
    </w:p>
    <w:p>
      <w:pPr>
        <w:pStyle w:val="14"/>
        <w:pageBreakBefore w:val="0"/>
        <w:widowControl w:val="0"/>
        <w:numPr>
          <w:ilvl w:val="0"/>
          <w:numId w:val="11"/>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对所选数据期别的全市住院医疗费用支出信息，按照地区进行分布分析，掌握各地区住院医疗费用支出金额占总住院医疗费用支出金额的比例分布情况。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住院医疗费用支出组成情况分析点/治理点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选取年月，对该年月的住院医疗费用支出情况进行统计性、占比性、排名性分析，掌握全市住院医疗费用支出组成的整体情况，研判住院医疗费用支出组成部分的占比情况。具体分析包括以下内容：</w:t>
      </w:r>
    </w:p>
    <w:p>
      <w:pPr>
        <w:pStyle w:val="14"/>
        <w:pageBreakBefore w:val="0"/>
        <w:widowControl w:val="0"/>
        <w:numPr>
          <w:ilvl w:val="0"/>
          <w:numId w:val="1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根据全市住院医疗费用支出数据，按照住院总费用、同比增长、环比增长进行统计，掌握全市住院医疗费用支出的整体概况。</w:t>
      </w:r>
    </w:p>
    <w:p>
      <w:pPr>
        <w:pStyle w:val="14"/>
        <w:pageBreakBefore w:val="0"/>
        <w:widowControl w:val="0"/>
        <w:numPr>
          <w:ilvl w:val="0"/>
          <w:numId w:val="1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对所选数据期别的全市住院医疗费用支出信息，按照支出类别进行占比分析，掌握全市医疗费用支出类别占比情况。</w:t>
      </w:r>
    </w:p>
    <w:p>
      <w:pPr>
        <w:pStyle w:val="14"/>
        <w:pageBreakBefore w:val="0"/>
        <w:widowControl w:val="0"/>
        <w:numPr>
          <w:ilvl w:val="0"/>
          <w:numId w:val="1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对所选数据期别的全市住院医疗费用支出信息，按照基金支付类型进行占比分析，掌握全市基金支付费用占比情况。</w:t>
      </w:r>
    </w:p>
    <w:p>
      <w:pPr>
        <w:pStyle w:val="14"/>
        <w:pageBreakBefore w:val="0"/>
        <w:widowControl w:val="0"/>
        <w:numPr>
          <w:ilvl w:val="0"/>
          <w:numId w:val="1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对所选数据期别的全市住院医疗费用支出信息，按照地区进行个人自付比例的排名分析，掌握各地区医疗费用个人自付比例排名情况。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慢性病医疗费用支出情况分析点/治理点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选取年月，对该年月的慢性病医疗费用支出情况进行统计性、趋势性、分布性分析，掌握全市慢性病医疗费用支出的整体情况，研判慢性病医疗费用支出的变化趋势。具体分析包括以下内容：</w:t>
      </w:r>
    </w:p>
    <w:p>
      <w:pPr>
        <w:pStyle w:val="14"/>
        <w:pageBreakBefore w:val="0"/>
        <w:widowControl w:val="0"/>
        <w:numPr>
          <w:ilvl w:val="0"/>
          <w:numId w:val="13"/>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根据全市慢性病医疗费用支出数据，按照慢性病总费用、同比增长、环比增长进行统计，掌握全市慢性病医疗费用支出的整体概况。</w:t>
      </w:r>
    </w:p>
    <w:p>
      <w:pPr>
        <w:pStyle w:val="14"/>
        <w:pageBreakBefore w:val="0"/>
        <w:widowControl w:val="0"/>
        <w:numPr>
          <w:ilvl w:val="0"/>
          <w:numId w:val="13"/>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对全市慢性病医疗总费用、次均就诊费用按月展示变化趋势，研判全市慢性病医疗费用的月变化趋势。</w:t>
      </w:r>
    </w:p>
    <w:p>
      <w:pPr>
        <w:pStyle w:val="14"/>
        <w:pageBreakBefore w:val="0"/>
        <w:widowControl w:val="0"/>
        <w:numPr>
          <w:ilvl w:val="0"/>
          <w:numId w:val="13"/>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对所选数据期别的全市慢性病医疗费用支出信息，按照病种费用进行排名分析，掌握全市病种费用排名情况。</w:t>
      </w:r>
    </w:p>
    <w:p>
      <w:pPr>
        <w:pStyle w:val="14"/>
        <w:pageBreakBefore w:val="0"/>
        <w:widowControl w:val="0"/>
        <w:numPr>
          <w:ilvl w:val="0"/>
          <w:numId w:val="13"/>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对所选数据期别的全市慢性病医疗费用支出信息，按照地区进行分布分析，掌握各地区慢性病医疗费用支出金额占总慢性病医疗费用支出金额的比例分布情况。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慢性病医疗费用支出组成情况分析点/治理点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选取年月，对该年月的慢性病医疗费用支出情况进行统计性、占比性、排名性分析，掌握全市慢性病医疗费用支出组成的整体情况，研判慢性病医疗费用支出组成部分的占比情况。具体分析包括以下内容：</w:t>
      </w:r>
    </w:p>
    <w:p>
      <w:pPr>
        <w:pStyle w:val="14"/>
        <w:pageBreakBefore w:val="0"/>
        <w:widowControl w:val="0"/>
        <w:numPr>
          <w:ilvl w:val="0"/>
          <w:numId w:val="1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根据全市慢性病医疗费用支出数据，按照慢性病总费用、同比增长、环比增长进行统计，掌握全市慢性病医疗费用支出的整体概况。</w:t>
      </w:r>
    </w:p>
    <w:p>
      <w:pPr>
        <w:pStyle w:val="14"/>
        <w:pageBreakBefore w:val="0"/>
        <w:widowControl w:val="0"/>
        <w:numPr>
          <w:ilvl w:val="0"/>
          <w:numId w:val="1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对所选数据期别的全市慢性病医疗费用支出信息，按照支出类别进行占比分析，掌握全市慢性病费用支出类别占比情况。</w:t>
      </w:r>
    </w:p>
    <w:p>
      <w:pPr>
        <w:pStyle w:val="14"/>
        <w:pageBreakBefore w:val="0"/>
        <w:widowControl w:val="0"/>
        <w:numPr>
          <w:ilvl w:val="0"/>
          <w:numId w:val="1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对所选数据期别的全市慢性病医疗费用支出信息，按照基金支付类型进行占比分析，掌握全市基金支付费用占比情况。</w:t>
      </w:r>
    </w:p>
    <w:p>
      <w:pPr>
        <w:pStyle w:val="14"/>
        <w:pageBreakBefore w:val="0"/>
        <w:widowControl w:val="0"/>
        <w:numPr>
          <w:ilvl w:val="0"/>
          <w:numId w:val="14"/>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对所选数据期别的全市慢性病医疗费用支出信息，按照地区进行个人自付比例的排名分析，掌握各地区医疗费用个人自付比例排名情况。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普通门诊费用支出情况分析点/治理点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选取年月，对该年月的普通门诊费用支出情况进行统计性、趋势性、分布性分析，掌握全市普通门诊费用支出的整体情况，研判普通门诊费用支出的变化趋势。具体分析包括以下内容：</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根据全市普通门诊费用支出数据，按照普通门诊总费用、同比增长、环比增长进行统计，掌握全市普通门诊费用支出的整体概况。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对全市普通门诊总费用、次均就诊费用按月展示变化趋势，研判全市普通门诊费用的月变化趋势。</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对所选数据期别的全市普通门诊费用支出信息，按照医院等级根据费用进行排名分析，掌握全市医院等级费用排名情况。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对所选数据期别的全市普通门诊费用支出信息，按照地区进行分布分析，掌握各地区普通门诊费用支出金额占总普通门诊费用支出金额的比例分布情况。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城职医疗就诊情况分析点/治理点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选取年月，对该年月的城职医疗就诊情况进行统计性、趋势性、排名性分析，掌握全市城职医疗就诊的整体情况，研判城职医疗就诊人次的变化趋势情况。具体分析包括以下内容：</w:t>
      </w:r>
    </w:p>
    <w:p>
      <w:pPr>
        <w:pStyle w:val="14"/>
        <w:pageBreakBefore w:val="0"/>
        <w:widowControl w:val="0"/>
        <w:numPr>
          <w:ilvl w:val="0"/>
          <w:numId w:val="1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根据全市城职医疗就诊数据，按照就诊人次、同比、环比、住院就诊人次占比、慢性病就诊人次占比、门诊就诊人次占比进行统计，掌握全市城职医疗就诊的整体概况。</w:t>
      </w:r>
    </w:p>
    <w:p>
      <w:pPr>
        <w:pStyle w:val="14"/>
        <w:pageBreakBefore w:val="0"/>
        <w:widowControl w:val="0"/>
        <w:numPr>
          <w:ilvl w:val="0"/>
          <w:numId w:val="1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对全市就诊人次、同比、环比按月展示变化趋势，研判全市就诊人次变化趋势。</w:t>
      </w:r>
    </w:p>
    <w:p>
      <w:pPr>
        <w:pStyle w:val="14"/>
        <w:pageBreakBefore w:val="0"/>
        <w:widowControl w:val="0"/>
        <w:numPr>
          <w:ilvl w:val="0"/>
          <w:numId w:val="1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对所选数据期别的全市城职医疗就诊信息，按照医院等级根据就诊人次进行占比分析，掌握全市各医院等级就诊人次占比情况。</w:t>
      </w:r>
    </w:p>
    <w:p>
      <w:pPr>
        <w:pStyle w:val="14"/>
        <w:pageBreakBefore w:val="0"/>
        <w:widowControl w:val="0"/>
        <w:numPr>
          <w:ilvl w:val="0"/>
          <w:numId w:val="15"/>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对所选数据期别的全市城职医疗就诊信息，按照地区进行就诊人次的排名分析，掌握各地区就诊人次排名情况。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城职异地医疗情况分析点/治理点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选取年月，对该年月的城职异地医疗情况进行统计性、趋势性、排名性分析，掌握全市城职异地医疗就诊的整体情况，研判城职异地医疗费用支付的变化趋势情况。具体分析包括以下内容：</w:t>
      </w:r>
    </w:p>
    <w:p>
      <w:pPr>
        <w:pStyle w:val="14"/>
        <w:pageBreakBefore w:val="0"/>
        <w:widowControl w:val="0"/>
        <w:numPr>
          <w:ilvl w:val="0"/>
          <w:numId w:val="1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根据全市城职异地医疗就诊数据，按照异地医疗总费用、同比增长、环比增长、市外异地总费用、市内异地总费用、异地费用占总医疗费用比进行统计，掌握全市城职异地医疗费用的整体概况。</w:t>
      </w:r>
    </w:p>
    <w:p>
      <w:pPr>
        <w:pStyle w:val="14"/>
        <w:pageBreakBefore w:val="0"/>
        <w:widowControl w:val="0"/>
        <w:numPr>
          <w:ilvl w:val="0"/>
          <w:numId w:val="1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对全市异地就医总费用、门诊费用、住院费用、慢性病费用按月展示变化趋势，研判全市异地医疗费用支付情况的变化趋势。</w:t>
      </w:r>
    </w:p>
    <w:p>
      <w:pPr>
        <w:pStyle w:val="14"/>
        <w:pageBreakBefore w:val="0"/>
        <w:widowControl w:val="0"/>
        <w:numPr>
          <w:ilvl w:val="0"/>
          <w:numId w:val="1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对所选数据期别的全市城职异地医疗费用信息，按照市内、市外异地就医费用进行地区排名，掌握全市异地费用情况地区排名TOP10。</w:t>
      </w:r>
    </w:p>
    <w:p>
      <w:pPr>
        <w:pStyle w:val="14"/>
        <w:pageBreakBefore w:val="0"/>
        <w:widowControl w:val="0"/>
        <w:numPr>
          <w:ilvl w:val="0"/>
          <w:numId w:val="16"/>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对所选数据期别的全市城职异地医疗就诊信息，按照全部异地、市内异地、市外异地对异地医疗费用进行各地区占比分析，掌握全市异地医疗费用就医地点占比情况。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城镇职工和城镇居民基本医疗保险住院医疗机构等级和就诊费用分析点/治理点</w:t>
      </w:r>
    </w:p>
    <w:p>
      <w:pPr>
        <w:pStyle w:val="14"/>
        <w:pageBreakBefore w:val="0"/>
        <w:widowControl w:val="0"/>
        <w:numPr>
          <w:ilvl w:val="0"/>
          <w:numId w:val="1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对比城镇职工和城镇居民基本医疗保险两种制度模式下，人员住院时各级医疗机构所占比例情况，分析人员就医趋势，评估医改分级诊疗、双向转诊等政策成效，掌握全市住院就诊医疗机构等级情况。</w:t>
      </w:r>
    </w:p>
    <w:p>
      <w:pPr>
        <w:pStyle w:val="14"/>
        <w:pageBreakBefore w:val="0"/>
        <w:widowControl w:val="0"/>
        <w:numPr>
          <w:ilvl w:val="0"/>
          <w:numId w:val="1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医疗机构等级分类，对比两种制度模式下住院次均就诊总费用情况；按就诊人员年龄分类，按照成年人员、老年人员（城居医保还包括儿童及中小学生）分析制度内和制度间不同人群的次均就诊总费用、次均药品费、次均诊疗费等情况，包括分析不同人群的次均就诊总费用、次均药品费、次均诊疗费等情况，包括分析不同人群的药占比。掌握全市住院就诊费用情况。</w:t>
      </w:r>
    </w:p>
    <w:p>
      <w:pPr>
        <w:pStyle w:val="14"/>
        <w:pageBreakBefore w:val="0"/>
        <w:widowControl w:val="0"/>
        <w:numPr>
          <w:ilvl w:val="0"/>
          <w:numId w:val="1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对比分析两种制度模式下住院就诊药品费用的构成情况，包括甲、乙类药占比，掌握住院药品费构成情况。</w:t>
      </w:r>
    </w:p>
    <w:p>
      <w:pPr>
        <w:pStyle w:val="14"/>
        <w:pageBreakBefore w:val="0"/>
        <w:widowControl w:val="0"/>
        <w:numPr>
          <w:ilvl w:val="0"/>
          <w:numId w:val="17"/>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按就诊人员年龄分类，按照成年人员、老年人员分析制度内和制度间不同人群的住院个人负担比例，以及政策内个人自付和政策外个人自费金额分别占住院就诊总费用的比例。掌握全市住院个人负担比例情况。</w:t>
      </w:r>
    </w:p>
    <w:p>
      <w:pPr>
        <w:pStyle w:val="14"/>
        <w:pageBreakBefore w:val="0"/>
        <w:widowControl w:val="0"/>
        <w:numPr>
          <w:ilvl w:val="0"/>
          <w:numId w:val="2"/>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城职医疗保险收支结情况分析点/治理点</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选取年月，对该年月的城镇职工医疗基金收支情况进行结构性、趋势性、占比性分析，掌握全市城镇职工医疗基金收支整体情况，研判城镇职工医疗基金收支变化趋势。具体分析包括以下内容：</w:t>
      </w:r>
    </w:p>
    <w:p>
      <w:pPr>
        <w:pStyle w:val="14"/>
        <w:pageBreakBefore w:val="0"/>
        <w:widowControl w:val="0"/>
        <w:numPr>
          <w:ilvl w:val="0"/>
          <w:numId w:val="1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城镇职工医疗基金收支情况按照截止当期基金累计结余、累计结余可支付月数、当期基金收入、环比增长（当期基金收入）、当期基金支出、环比增长（当期基金支出）进行统计，掌握全市医疗基金收支结概况。</w:t>
      </w:r>
    </w:p>
    <w:p>
      <w:pPr>
        <w:pStyle w:val="14"/>
        <w:pageBreakBefore w:val="0"/>
        <w:widowControl w:val="0"/>
        <w:numPr>
          <w:ilvl w:val="0"/>
          <w:numId w:val="1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对全市当年城镇职工医疗基金累计结余、基金收入、基金支出按月展示变化趋势，研判全市城镇职工医疗基金收支结变化趋势。</w:t>
      </w:r>
    </w:p>
    <w:p>
      <w:pPr>
        <w:pStyle w:val="14"/>
        <w:pageBreakBefore w:val="0"/>
        <w:widowControl w:val="0"/>
        <w:numPr>
          <w:ilvl w:val="0"/>
          <w:numId w:val="1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对所选数据期别的全市城镇职工医疗基金收支情况数据，按照地区对收入和支出情况进行雷达图分析，直观、形象的展示各地区城镇职工医疗基金收支情况及各地市的对比。</w:t>
      </w:r>
    </w:p>
    <w:p>
      <w:pPr>
        <w:pStyle w:val="14"/>
        <w:pageBreakBefore w:val="0"/>
        <w:widowControl w:val="0"/>
        <w:numPr>
          <w:ilvl w:val="0"/>
          <w:numId w:val="18"/>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对所选数据期别的全市城镇职工医疗基金结余情况数据，按照地区、构成情况进行分布分析，掌握城镇职工医疗基金结余地区的分布情况。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黑体" w:hAnsi="黑体" w:eastAsia="黑体" w:cs="黑体"/>
          <w:color w:val="000000"/>
          <w:sz w:val="32"/>
          <w:szCs w:val="32"/>
        </w:rPr>
      </w:pPr>
      <w:bookmarkStart w:id="2" w:name="_Toc115116693"/>
      <w:bookmarkStart w:id="3" w:name="_Toc119610213"/>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临时测算、统计、导出服务</w:t>
      </w:r>
      <w:bookmarkEnd w:id="2"/>
      <w:bookmarkEnd w:id="3"/>
    </w:p>
    <w:p>
      <w:pPr>
        <w:pStyle w:val="6"/>
        <w:pageBreakBefore w:val="0"/>
        <w:widowControl w:val="0"/>
        <w:kinsoku/>
        <w:wordWrap/>
        <w:overflowPunct/>
        <w:topLinePunct w:val="0"/>
        <w:autoSpaceDE/>
        <w:autoSpaceDN/>
        <w:bidi w:val="0"/>
        <w:adjustRightInd/>
        <w:snapToGrid/>
        <w:spacing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在日常工作中，经常需要进行临时的较复杂测算、统计工作，此类工作时效性高、需求不固定，无法固定为具体业务功能，每次均需要进行针对性响应。进行灵活、及时的数据测算、统计工作。</w:t>
      </w:r>
    </w:p>
    <w:p>
      <w:pPr>
        <w:pStyle w:val="6"/>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480" w:lef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简单类测算、统计响应</w:t>
      </w:r>
    </w:p>
    <w:p>
      <w:pPr>
        <w:pStyle w:val="6"/>
        <w:pageBreakBefore w:val="0"/>
        <w:widowControl w:val="0"/>
        <w:kinsoku/>
        <w:wordWrap/>
        <w:overflowPunct/>
        <w:topLinePunct w:val="0"/>
        <w:autoSpaceDE/>
        <w:autoSpaceDN/>
        <w:bidi w:val="0"/>
        <w:adjustRightInd/>
        <w:snapToGrid/>
        <w:spacing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按相关条件编写灵活查询SQL语句进行执行，执行完毕产生所需数据结果，将数据结果导出为CSV/TXT/XLSX等格式。（人员长期即时响应）</w:t>
      </w:r>
    </w:p>
    <w:p>
      <w:pPr>
        <w:pStyle w:val="6"/>
        <w:pageBreakBefore w:val="0"/>
        <w:widowControl w:val="0"/>
        <w:kinsoku/>
        <w:wordWrap/>
        <w:overflowPunct/>
        <w:topLinePunct w:val="0"/>
        <w:autoSpaceDE/>
        <w:autoSpaceDN/>
        <w:bidi w:val="0"/>
        <w:adjustRightInd/>
        <w:snapToGrid/>
        <w:spacing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根据往年工作经验进行的平均估算，每年需要响应180次简单类测算、统计工作。</w:t>
      </w:r>
    </w:p>
    <w:p>
      <w:pPr>
        <w:pStyle w:val="6"/>
        <w:pageBreakBefore w:val="0"/>
        <w:widowControl w:val="0"/>
        <w:kinsoku/>
        <w:wordWrap/>
        <w:overflowPunct/>
        <w:topLinePunct w:val="0"/>
        <w:autoSpaceDE/>
        <w:autoSpaceDN/>
        <w:bidi w:val="0"/>
        <w:adjustRightInd/>
        <w:snapToGrid/>
        <w:spacing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例如：按要求对2021年7月1日-2022年3月31日期间，利州区二级综合医院，医疗类别为普通住院，按月度，对费用构成进行分组统计并导出为XLSX格式。</w:t>
      </w:r>
    </w:p>
    <w:p>
      <w:pPr>
        <w:pStyle w:val="6"/>
        <w:pageBreakBefore w:val="0"/>
        <w:widowControl w:val="0"/>
        <w:numPr>
          <w:ilvl w:val="0"/>
          <w:numId w:val="0"/>
        </w:numPr>
        <w:kinsoku/>
        <w:wordWrap/>
        <w:overflowPunct/>
        <w:topLinePunct w:val="0"/>
        <w:autoSpaceDE/>
        <w:autoSpaceDN/>
        <w:bidi w:val="0"/>
        <w:adjustRightInd/>
        <w:snapToGrid/>
        <w:spacing w:beforeAutospacing="0" w:after="0" w:afterAutospacing="0" w:line="560" w:lineRule="exact"/>
        <w:ind w:left="480" w:left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复杂类测算、统计响应</w:t>
      </w:r>
    </w:p>
    <w:p>
      <w:pPr>
        <w:pStyle w:val="6"/>
        <w:pageBreakBefore w:val="0"/>
        <w:widowControl w:val="0"/>
        <w:kinsoku/>
        <w:wordWrap/>
        <w:overflowPunct/>
        <w:topLinePunct w:val="0"/>
        <w:autoSpaceDE/>
        <w:autoSpaceDN/>
        <w:bidi w:val="0"/>
        <w:adjustRightInd/>
        <w:snapToGrid/>
        <w:spacing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按相关条件，编写Java/存储过程等复杂程序使用多线程方式进行执行，执行完毕产生所需数据格式。（人员长期即时响应）</w:t>
      </w:r>
    </w:p>
    <w:p>
      <w:pPr>
        <w:pStyle w:val="6"/>
        <w:pageBreakBefore w:val="0"/>
        <w:widowControl w:val="0"/>
        <w:kinsoku/>
        <w:wordWrap/>
        <w:overflowPunct/>
        <w:topLinePunct w:val="0"/>
        <w:autoSpaceDE/>
        <w:autoSpaceDN/>
        <w:bidi w:val="0"/>
        <w:adjustRightInd/>
        <w:snapToGrid/>
        <w:spacing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根据往年工作经验进行的平均估算，每年需要响应60次复杂类测算、统计工作。</w:t>
      </w:r>
    </w:p>
    <w:p>
      <w:pPr>
        <w:pStyle w:val="6"/>
        <w:pageBreakBefore w:val="0"/>
        <w:widowControl w:val="0"/>
        <w:kinsoku/>
        <w:wordWrap/>
        <w:overflowPunct/>
        <w:topLinePunct w:val="0"/>
        <w:autoSpaceDE/>
        <w:autoSpaceDN/>
        <w:bidi w:val="0"/>
        <w:adjustRightInd/>
        <w:snapToGrid/>
        <w:spacing w:beforeAutospacing="0" w:after="0" w:afterAutospacing="0" w:line="560" w:lineRule="exact"/>
        <w:ind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例如：按要求对2022年1月1日-2022年6月30日期间，全市三级专科医院，医疗类别为全部门诊+住院+特病，筛选出自费+自付费用超200元，且自费+自付费用占总费用比例超50%，同时就诊日期少于等于2日的人员就当此就诊所有明细，按国家编码进行筛选。导出为XLSX格式。</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黑体" w:hAnsi="黑体" w:eastAsia="黑体" w:cs="黑体"/>
          <w:color w:val="000000"/>
          <w:sz w:val="32"/>
          <w:szCs w:val="32"/>
        </w:rPr>
      </w:pPr>
      <w:bookmarkStart w:id="4" w:name="_Toc119610214"/>
      <w:bookmarkStart w:id="5" w:name="_Toc115116694"/>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统计报表和固化功能服务</w:t>
      </w:r>
      <w:bookmarkEnd w:id="4"/>
      <w:bookmarkEnd w:id="5"/>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日常工作中，经常有对现有统计报表数据结果有疑问、对指标口径有变更述求，需要对数据结果进行验证、需要对部分指标进行重新统计、甚至对整张报表进行重绘，与省平台的统计报表互为补充。进行验证和指标重新统计，用于更精准的决策判断；也可在“数据共享交换平台”中对整张报表固化为功能，支持操作员长期重复使用；原医保系统中保留的若干查询功能，是经过长期业务积累和总结所沉淀出来的，可在“数据共享交换平台”中重新开发，支撑对新系统继续高效分析和使用数据。</w:t>
      </w:r>
    </w:p>
    <w:p>
      <w:pPr>
        <w:pStyle w:val="14"/>
        <w:pageBreakBefore w:val="0"/>
        <w:widowControl w:val="0"/>
        <w:numPr>
          <w:ilvl w:val="0"/>
          <w:numId w:val="1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简单类统计报表响应</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按相关条件编写灵活查询SQL语句进行执行，执行完毕产生所需数据结果，将数据结果导出为CSV/TXT/XLSX等格式。（人员长期即时响应）</w:t>
      </w:r>
    </w:p>
    <w:p>
      <w:pPr>
        <w:pStyle w:val="14"/>
        <w:pageBreakBefore w:val="0"/>
        <w:widowControl w:val="0"/>
        <w:numPr>
          <w:ilvl w:val="0"/>
          <w:numId w:val="1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复杂类统计报表响应</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按相关条件，编写Java/存储过程等复杂程序使用多线程方式进行执行，执行完毕产生所需数据格式。（人员长期即时响应）</w:t>
      </w:r>
    </w:p>
    <w:p>
      <w:pPr>
        <w:pStyle w:val="14"/>
        <w:pageBreakBefore w:val="0"/>
        <w:widowControl w:val="0"/>
        <w:numPr>
          <w:ilvl w:val="0"/>
          <w:numId w:val="1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标准统计报表之外的长期统计</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部分标准统计报表之外的统计查询需求，也需要长期重复使用。因此对于此类需求，可固化为功能，供操作员长期重复使用。（人员长期即时响应）</w:t>
      </w:r>
    </w:p>
    <w:p>
      <w:pPr>
        <w:pStyle w:val="14"/>
        <w:pageBreakBefore w:val="0"/>
        <w:widowControl w:val="0"/>
        <w:numPr>
          <w:ilvl w:val="0"/>
          <w:numId w:val="19"/>
        </w:numPr>
        <w:kinsoku/>
        <w:wordWrap/>
        <w:overflowPunct/>
        <w:topLinePunct w:val="0"/>
        <w:autoSpaceDE/>
        <w:autoSpaceDN/>
        <w:bidi w:val="0"/>
        <w:adjustRightInd/>
        <w:snapToGrid/>
        <w:spacing w:before="0" w:beforeLines="0" w:beforeAutospacing="0" w:after="0" w:afterLines="0" w:afterAutospacing="0" w:line="560" w:lineRule="exact"/>
        <w:ind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统计及查询功能的开发。</w:t>
      </w:r>
    </w:p>
    <w:p>
      <w:pPr>
        <w:pageBreakBefore w:val="0"/>
        <w:widowControl w:val="0"/>
        <w:kinsoku/>
        <w:wordWrap/>
        <w:overflowPunct/>
        <w:topLinePunct w:val="0"/>
        <w:autoSpaceDE/>
        <w:autoSpaceDN/>
        <w:bidi w:val="0"/>
        <w:adjustRightInd/>
        <w:snapToGrid/>
        <w:spacing w:beforeAutospacing="0" w:afterAutospacing="0" w:line="560" w:lineRule="exact"/>
        <w:ind w:firstLine="48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通过对广元医保业务的理解和分析，为支撑本地业务更好的经办和管理，开发58个相关统计查询功能：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0"/>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noWrap/>
            <w:vAlign w:val="center"/>
          </w:tcPr>
          <w:p>
            <w:pPr>
              <w:pStyle w:val="7"/>
              <w:spacing w:line="240" w:lineRule="auto"/>
              <w:ind w:firstLine="0" w:firstLineChars="0"/>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场景</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统计查询功能清单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公共业务-参保管理</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医疗参保人员统计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退休人员查询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医疗退休补缴查询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公共业务-征缴管理</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单位征缴明细查询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滞纳金查询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征地农转非查询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缓缴信息查询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公共业务-查询统计</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单位（或个人）实缴明细查询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单位基本信息查询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单位参保信息查询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单位欠费信息实时查询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单位变更参保状态查询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人员基本信息查询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人员参保信息查询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人员账户信息查询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人员参保情况统计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人员参保及缴费情况统计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关系转移查询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中断终止人员查询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退费信息查询（分职工和居民）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单位参保缴费情况统计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0"/>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基本医疗待遇-费用审核清算</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在院病人查询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费用清算查询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0"/>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扣款数据查询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异地清算数据本地查询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基本医疗待遇-费用拨付</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区县间结算费用查询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医疗机构扣款查询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医疗费用查询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中心报销费用查询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0"/>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基本医疗待遇-综合业务申请</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异地安置人员查询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门诊慢特病备案人员查询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0"/>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定点医疗机构查询（包括定点机构开通的医疗类别、清算类别、认定病种、治疗病种等）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基本医疗待遇-目录管理</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已开展的药品目录查询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已开展的耗材目录查询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已开展的诊疗项目查询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定点医疗机构三目使用情况查询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基本医疗待遇-统计查询</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药品使用情况统计（包含单行支付药品）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耗材使用情况统计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诊疗项目使用情况统计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定点医疗机构就诊人员查询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定点医疗机构结算费用查询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转诊转院就诊查询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医疗救助统计查询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居民医保-参保征集查询</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特殊身份人员缴费情况查询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征地农转非缴费查询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居民医保-待遇信息查询</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就诊明细信息查询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就诊汇总信息查询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门诊统筹人员查询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转诊转院查询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生育待遇</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生育基本信息查询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生育报销统计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restart"/>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基金财务</w:t>
            </w: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个体参保人员财务自收情况汇总表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参保单位财务自收情况明细表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基本医疗实付汇总表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补充医疗实付汇总表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分中心间清算汇总查询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医疗中心报销实付明细查询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0" w:type="dxa"/>
            <w:vMerge w:val="continue"/>
            <w:noWrap w:val="0"/>
            <w:vAlign w:val="center"/>
          </w:tcPr>
          <w:p>
            <w:pPr>
              <w:pStyle w:val="7"/>
              <w:spacing w:line="240" w:lineRule="auto"/>
              <w:ind w:firstLine="420"/>
              <w:jc w:val="center"/>
              <w:rPr>
                <w:rFonts w:hint="eastAsia" w:ascii="仿宋_GB2312" w:hAnsi="仿宋_GB2312" w:eastAsia="仿宋_GB2312" w:cs="仿宋_GB2312"/>
                <w:color w:val="000000"/>
                <w:sz w:val="32"/>
                <w:szCs w:val="32"/>
              </w:rPr>
            </w:pPr>
          </w:p>
        </w:tc>
        <w:tc>
          <w:tcPr>
            <w:tcW w:w="4849" w:type="dxa"/>
            <w:noWrap/>
            <w:vAlign w:val="center"/>
          </w:tcPr>
          <w:p>
            <w:pPr>
              <w:pStyle w:val="7"/>
              <w:spacing w:line="240" w:lineRule="auto"/>
              <w:ind w:firstLine="0" w:firstLineChars="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失保代缴医保明细查询</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1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1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pPr>
        <w:pStyle w:val="1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w:t>
      </w:r>
    </w:p>
    <w:p>
      <w:pPr>
        <w:pStyle w:val="3"/>
        <w:spacing w:before="0" w:after="0" w:line="560" w:lineRule="exact"/>
        <w:rPr>
          <w:rFonts w:hint="eastAsia" w:ascii="仿宋_GB2312" w:hAnsi="仿宋_GB2312" w:eastAsia="仿宋_GB2312" w:cs="仿宋_GB2312"/>
          <w:b w:val="0"/>
          <w:bCs w:val="0"/>
          <w:color w:val="0D0D0D"/>
          <w:sz w:val="32"/>
          <w:szCs w:val="32"/>
        </w:rPr>
      </w:pPr>
    </w:p>
    <w:p>
      <w:pPr>
        <w:pStyle w:val="3"/>
        <w:spacing w:before="0" w:after="0" w:line="560" w:lineRule="exact"/>
        <w:rPr>
          <w:rFonts w:hint="eastAsia" w:ascii="仿宋_GB2312" w:hAnsi="仿宋_GB2312" w:eastAsia="仿宋_GB2312" w:cs="仿宋_GB2312"/>
          <w:b w:val="0"/>
          <w:bCs w:val="0"/>
          <w:color w:val="0D0D0D"/>
          <w:sz w:val="32"/>
          <w:szCs w:val="32"/>
        </w:rPr>
      </w:pPr>
    </w:p>
    <w:p>
      <w:pPr>
        <w:pStyle w:val="3"/>
        <w:spacing w:before="0" w:after="0" w:line="560" w:lineRule="exact"/>
        <w:rPr>
          <w:rFonts w:hint="eastAsia" w:ascii="仿宋_GB2312" w:hAnsi="仿宋_GB2312" w:eastAsia="仿宋_GB2312" w:cs="仿宋_GB2312"/>
          <w:b w:val="0"/>
          <w:bCs w:val="0"/>
          <w:sz w:val="36"/>
          <w:szCs w:val="36"/>
        </w:rPr>
      </w:pPr>
      <w:r>
        <w:rPr>
          <w:rFonts w:hint="eastAsia" w:ascii="仿宋_GB2312" w:hAnsi="仿宋_GB2312" w:eastAsia="仿宋_GB2312" w:cs="仿宋_GB2312"/>
          <w:b w:val="0"/>
          <w:bCs w:val="0"/>
          <w:color w:val="0D0D0D"/>
          <w:sz w:val="36"/>
          <w:szCs w:val="36"/>
        </w:rPr>
        <w:t>“报价文件”格式——封面</w:t>
      </w:r>
    </w:p>
    <w:p>
      <w:pPr>
        <w:spacing w:line="560" w:lineRule="exact"/>
        <w:jc w:val="center"/>
        <w:rPr>
          <w:rFonts w:hint="eastAsia" w:ascii="仿宋_GB2312" w:hAnsi="仿宋_GB2312" w:eastAsia="仿宋_GB2312" w:cs="仿宋_GB2312"/>
          <w:color w:val="0D0D0D"/>
          <w:sz w:val="36"/>
          <w:szCs w:val="36"/>
        </w:rPr>
      </w:pPr>
      <w:r>
        <w:rPr>
          <w:rFonts w:hint="eastAsia" w:ascii="仿宋_GB2312" w:hAnsi="仿宋_GB2312" w:eastAsia="仿宋_GB2312" w:cs="仿宋_GB2312"/>
          <w:color w:val="0D0D0D"/>
          <w:sz w:val="36"/>
          <w:szCs w:val="36"/>
        </w:rPr>
        <w:t>xxxxxxxxxxxx项目</w:t>
      </w:r>
    </w:p>
    <w:p>
      <w:pPr>
        <w:spacing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pStyle w:val="3"/>
        <w:spacing w:before="0" w:after="0" w:line="560" w:lineRule="exact"/>
        <w:jc w:val="both"/>
        <w:rPr>
          <w:rFonts w:hint="eastAsia" w:ascii="仿宋_GB2312" w:hAnsi="仿宋_GB2312" w:eastAsia="仿宋_GB2312" w:cs="仿宋_GB2312"/>
          <w:sz w:val="36"/>
          <w:szCs w:val="36"/>
        </w:rPr>
      </w:pPr>
    </w:p>
    <w:p>
      <w:pPr>
        <w:spacing w:line="560" w:lineRule="exact"/>
        <w:rPr>
          <w:rFonts w:hint="eastAsia" w:ascii="仿宋_GB2312" w:hAnsi="仿宋_GB2312" w:eastAsia="仿宋_GB2312" w:cs="仿宋_GB2312"/>
          <w:sz w:val="36"/>
          <w:szCs w:val="36"/>
        </w:rPr>
      </w:pPr>
    </w:p>
    <w:p>
      <w:pPr>
        <w:spacing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spacing w:line="560" w:lineRule="exact"/>
        <w:rPr>
          <w:rFonts w:hint="eastAsia" w:ascii="仿宋_GB2312" w:hAnsi="仿宋_GB2312" w:eastAsia="仿宋_GB2312" w:cs="仿宋_GB2312"/>
          <w:sz w:val="36"/>
          <w:szCs w:val="36"/>
        </w:rPr>
      </w:pPr>
    </w:p>
    <w:p>
      <w:pPr>
        <w:pStyle w:val="3"/>
        <w:spacing w:before="0" w:after="0" w:line="560" w:lineRule="exact"/>
        <w:rPr>
          <w:rFonts w:hint="eastAsia" w:ascii="仿宋_GB2312" w:hAnsi="仿宋_GB2312" w:eastAsia="仿宋_GB2312" w:cs="仿宋_GB2312"/>
          <w:b w:val="0"/>
          <w:bCs w:val="0"/>
          <w:color w:val="0D0D0D"/>
          <w:sz w:val="36"/>
          <w:szCs w:val="36"/>
        </w:rPr>
      </w:pPr>
      <w:r>
        <w:rPr>
          <w:rFonts w:hint="eastAsia" w:ascii="仿宋_GB2312" w:hAnsi="仿宋_GB2312" w:eastAsia="仿宋_GB2312" w:cs="仿宋_GB2312"/>
          <w:b w:val="0"/>
          <w:bCs w:val="0"/>
          <w:color w:val="0D0D0D"/>
          <w:sz w:val="36"/>
          <w:szCs w:val="36"/>
        </w:rPr>
        <w:t>报价文件</w:t>
      </w:r>
    </w:p>
    <w:p>
      <w:pPr>
        <w:pStyle w:val="2"/>
        <w:spacing w:before="0" w:beforeAutospacing="0" w:after="0"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pStyle w:val="2"/>
        <w:spacing w:before="0" w:beforeAutospacing="0" w:after="0" w:line="560" w:lineRule="exact"/>
        <w:rPr>
          <w:rFonts w:hint="eastAsia" w:ascii="仿宋_GB2312" w:hAnsi="仿宋_GB2312" w:eastAsia="仿宋_GB2312" w:cs="仿宋_GB2312"/>
          <w:sz w:val="36"/>
          <w:szCs w:val="36"/>
        </w:rPr>
      </w:pPr>
    </w:p>
    <w:p>
      <w:pPr>
        <w:pStyle w:val="2"/>
        <w:spacing w:before="0" w:beforeAutospacing="0" w:after="0" w:line="560" w:lineRule="exact"/>
        <w:ind w:firstLine="1440"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供应商名称：XXXX</w:t>
      </w:r>
    </w:p>
    <w:p>
      <w:pPr>
        <w:pStyle w:val="2"/>
        <w:spacing w:before="0" w:beforeAutospacing="0" w:after="0" w:line="560" w:lineRule="exact"/>
        <w:ind w:firstLine="1440" w:firstLineChars="4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日期：2024年XX月XX日</w:t>
      </w:r>
    </w:p>
    <w:p>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供应商报价文件相关文书格式</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（注：以下要求供应商提供的资格证明、报价文件复印件必须加盖报价人印章（鲜章））</w:t>
      </w:r>
    </w:p>
    <w:p>
      <w:pPr>
        <w:spacing w:line="560" w:lineRule="exact"/>
        <w:rPr>
          <w:rFonts w:hint="eastAsia" w:ascii="仿宋_GB2312" w:hAnsi="仿宋_GB2312" w:eastAsia="仿宋_GB2312" w:cs="仿宋_GB2312"/>
          <w:b/>
          <w:sz w:val="32"/>
          <w:szCs w:val="32"/>
        </w:rPr>
      </w:pPr>
    </w:p>
    <w:p>
      <w:pPr>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一、营业执照、税务登记证及组织机构代码证或“三证合一”的营业执照。</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spacing w:line="360" w:lineRule="auto"/>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 </w:t>
      </w:r>
    </w:p>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二、法定代表人/单位负责人授权书</w:t>
      </w: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w:t>
      </w:r>
      <w:r>
        <w:rPr>
          <w:rFonts w:hint="eastAsia" w:ascii="仿宋_GB2312" w:hAnsi="仿宋_GB2312" w:eastAsia="仿宋_GB2312" w:cs="仿宋_GB2312"/>
          <w:sz w:val="32"/>
          <w:szCs w:val="32"/>
          <w:lang w:val="en-US" w:eastAsia="zh-CN"/>
        </w:rPr>
        <w:t>医疗保障局</w:t>
      </w:r>
      <w:r>
        <w:rPr>
          <w:rFonts w:hint="eastAsia" w:ascii="仿宋_GB2312" w:hAnsi="仿宋_GB2312" w:eastAsia="仿宋_GB2312" w:cs="仿宋_GB2312"/>
          <w:sz w:val="32"/>
          <w:szCs w:val="32"/>
        </w:rPr>
        <w:t>：</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本授权声明：XXX（单位名称）,XXX（法定代表人/单位负责人姓名、职务）授权XXX                   （被授权人姓名、职务）为我方参加XXX报价活动的合法代表，以我方名义全权处理该项目有报价等有关事宜。</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供应商名称：XXX（盖单位公章）</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法定代表人/单位负责人（签字或盖章）：XXX</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务：XXX</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授权代表签字：XXX</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务：XXX</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期：XXX年XXX月XXX日</w:t>
      </w:r>
    </w:p>
    <w:p>
      <w:pPr>
        <w:pStyle w:val="2"/>
        <w:spacing w:before="0" w:beforeAutospacing="0" w:after="0" w:line="560" w:lineRule="exact"/>
        <w:rPr>
          <w:rFonts w:hint="eastAsia" w:ascii="仿宋_GB2312" w:hAnsi="仿宋_GB2312" w:eastAsia="仿宋_GB2312" w:cs="仿宋_GB2312"/>
          <w:sz w:val="32"/>
          <w:szCs w:val="32"/>
        </w:rPr>
      </w:pPr>
    </w:p>
    <w:p>
      <w:pPr>
        <w:pStyle w:val="3"/>
        <w:rPr>
          <w:rFonts w:hint="eastAsia" w:ascii="仿宋_GB2312" w:hAnsi="仿宋_GB2312" w:eastAsia="仿宋_GB2312" w:cs="仿宋_GB2312"/>
          <w:sz w:val="32"/>
          <w:szCs w:val="32"/>
        </w:rPr>
      </w:pPr>
    </w:p>
    <w:p>
      <w:pPr>
        <w:spacing w:line="400" w:lineRule="exact"/>
        <w:rPr>
          <w:rFonts w:hint="eastAsia" w:ascii="仿宋_GB2312" w:hAnsi="仿宋_GB2312" w:eastAsia="仿宋_GB2312" w:cs="仿宋_GB2312"/>
          <w:color w:val="0D0D0D"/>
          <w:sz w:val="32"/>
          <w:szCs w:val="32"/>
        </w:rPr>
      </w:pPr>
      <w:r>
        <w:rPr>
          <w:rFonts w:hint="eastAsia" w:ascii="仿宋_GB2312" w:hAnsi="仿宋_GB2312" w:eastAsia="仿宋_GB2312" w:cs="仿宋_GB2312"/>
          <w:b/>
          <w:color w:val="0D0D0D"/>
          <w:sz w:val="32"/>
          <w:szCs w:val="32"/>
        </w:rPr>
        <w:t>注：</w:t>
      </w:r>
      <w:r>
        <w:rPr>
          <w:rFonts w:hint="eastAsia" w:ascii="仿宋_GB2312" w:hAnsi="仿宋_GB2312" w:eastAsia="仿宋_GB2312" w:cs="仿宋_GB2312"/>
          <w:b/>
          <w:color w:val="0D0D0D"/>
          <w:kern w:val="0"/>
          <w:sz w:val="32"/>
          <w:szCs w:val="32"/>
        </w:rPr>
        <w:t xml:space="preserve">供应商为法人单位提供“法定代表人授权书”，为其他组织提供“单位负责人授权书”， 供应商为自然人时提供“自然人身份证明材料”。 </w:t>
      </w:r>
      <w:r>
        <w:rPr>
          <w:rFonts w:hint="eastAsia" w:ascii="仿宋_GB2312" w:hAnsi="仿宋_GB2312" w:eastAsia="仿宋_GB2312" w:cs="仿宋_GB2312"/>
          <w:color w:val="0D0D0D"/>
          <w:sz w:val="32"/>
          <w:szCs w:val="32"/>
        </w:rPr>
        <w:t>（</w:t>
      </w:r>
      <w:r>
        <w:rPr>
          <w:rFonts w:hint="eastAsia" w:ascii="仿宋_GB2312" w:hAnsi="仿宋_GB2312" w:eastAsia="仿宋_GB2312" w:cs="仿宋_GB2312"/>
          <w:color w:val="0D0D0D"/>
          <w:kern w:val="0"/>
          <w:sz w:val="32"/>
          <w:szCs w:val="32"/>
        </w:rPr>
        <w:t>法定代表人/单位负责人</w:t>
      </w:r>
      <w:r>
        <w:rPr>
          <w:rFonts w:hint="eastAsia" w:ascii="仿宋_GB2312" w:hAnsi="仿宋_GB2312" w:eastAsia="仿宋_GB2312" w:cs="仿宋_GB2312"/>
          <w:color w:val="0D0D0D"/>
          <w:sz w:val="32"/>
          <w:szCs w:val="32"/>
        </w:rPr>
        <w:t>参加投标活动的，仅需提供本人身份证复印件）；</w:t>
      </w: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三、法定代表人/单位负责人身份证复印件</w:t>
      </w: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四、无行贿犯罪记录承诺函</w:t>
      </w: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w:t>
      </w:r>
      <w:r>
        <w:rPr>
          <w:rFonts w:hint="eastAsia" w:ascii="仿宋_GB2312" w:hAnsi="仿宋_GB2312" w:eastAsia="仿宋_GB2312" w:cs="仿宋_GB2312"/>
          <w:sz w:val="32"/>
          <w:szCs w:val="32"/>
          <w:lang w:val="en-US" w:eastAsia="zh-CN"/>
        </w:rPr>
        <w:t>医疗保障局</w:t>
      </w:r>
      <w:r>
        <w:rPr>
          <w:rFonts w:hint="eastAsia" w:ascii="仿宋_GB2312" w:hAnsi="仿宋_GB2312" w:eastAsia="仿宋_GB2312" w:cs="仿宋_GB2312"/>
          <w:sz w:val="32"/>
          <w:szCs w:val="32"/>
        </w:rPr>
        <w:t>：</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我单位在此承诺：我单位、法定代表人/单位负责人在参加本项目采购活动前三年内不具有行贿犯罪记录。</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本公司对上述承诺内容事项的真实性负责。如经查实上述承诺的内容事项存在虚假，我公司愿意接受以提供虚假材料谋取中标追究法律责任。</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供应商人名称：XXXXX（盖单位公章）</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法定代表人/单位负责人或授权代表（签字或盖章）：XXXXX</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期：XXX年XXX月XXX日</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五、供应商基本情况表</w:t>
      </w:r>
    </w:p>
    <w:p>
      <w:pPr>
        <w:pStyle w:val="2"/>
        <w:spacing w:before="0" w:beforeAutospacing="0" w:after="0" w:line="560" w:lineRule="exact"/>
        <w:rPr>
          <w:rFonts w:hint="eastAsia" w:ascii="仿宋_GB2312" w:hAnsi="仿宋_GB2312" w:eastAsia="仿宋_GB2312" w:cs="仿宋_GB2312"/>
          <w:sz w:val="32"/>
          <w:szCs w:val="32"/>
        </w:rPr>
      </w:pPr>
    </w:p>
    <w:tbl>
      <w:tblPr>
        <w:tblStyle w:val="1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073"/>
        <w:gridCol w:w="179"/>
        <w:gridCol w:w="1252"/>
        <w:gridCol w:w="1252"/>
        <w:gridCol w:w="417"/>
        <w:gridCol w:w="477"/>
        <w:gridCol w:w="358"/>
        <w:gridCol w:w="895"/>
        <w:gridCol w:w="357"/>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供应商名称</w:t>
            </w:r>
          </w:p>
        </w:tc>
        <w:tc>
          <w:tcPr>
            <w:tcW w:w="7560" w:type="dxa"/>
            <w:gridSpan w:val="10"/>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注册地址</w:t>
            </w:r>
          </w:p>
        </w:tc>
        <w:tc>
          <w:tcPr>
            <w:tcW w:w="4680" w:type="dxa"/>
            <w:gridSpan w:val="6"/>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邮政编码</w:t>
            </w:r>
          </w:p>
        </w:tc>
        <w:tc>
          <w:tcPr>
            <w:tcW w:w="162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联系方式</w:t>
            </w: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联系人</w:t>
            </w:r>
          </w:p>
        </w:tc>
        <w:tc>
          <w:tcPr>
            <w:tcW w:w="3600" w:type="dxa"/>
            <w:gridSpan w:val="5"/>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联系电话</w:t>
            </w:r>
          </w:p>
        </w:tc>
        <w:tc>
          <w:tcPr>
            <w:tcW w:w="162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color w:val="000000"/>
                <w:sz w:val="28"/>
                <w:szCs w:val="28"/>
              </w:rPr>
            </w:pPr>
          </w:p>
        </w:tc>
        <w:tc>
          <w:tcPr>
            <w:tcW w:w="108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传真</w:t>
            </w:r>
          </w:p>
        </w:tc>
        <w:tc>
          <w:tcPr>
            <w:tcW w:w="3600" w:type="dxa"/>
            <w:gridSpan w:val="5"/>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网址</w:t>
            </w:r>
          </w:p>
        </w:tc>
        <w:tc>
          <w:tcPr>
            <w:tcW w:w="162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组织结构</w:t>
            </w:r>
          </w:p>
        </w:tc>
        <w:tc>
          <w:tcPr>
            <w:tcW w:w="7560" w:type="dxa"/>
            <w:gridSpan w:val="10"/>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法定代表人</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姓名</w:t>
            </w: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技术职称</w:t>
            </w:r>
          </w:p>
        </w:tc>
        <w:tc>
          <w:tcPr>
            <w:tcW w:w="126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联系电话</w:t>
            </w: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技术负责人</w:t>
            </w:r>
          </w:p>
        </w:tc>
        <w:tc>
          <w:tcPr>
            <w:tcW w:w="126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姓名</w:t>
            </w: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技术职称</w:t>
            </w:r>
          </w:p>
        </w:tc>
        <w:tc>
          <w:tcPr>
            <w:tcW w:w="126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26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联系电话</w:t>
            </w: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成立时间</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5040" w:type="dxa"/>
            <w:gridSpan w:val="7"/>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企业资质等级</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680" w:type="dxa"/>
            <w:gridSpan w:val="2"/>
            <w:vMerge w:val="restar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其中</w:t>
            </w:r>
          </w:p>
        </w:tc>
        <w:tc>
          <w:tcPr>
            <w:tcW w:w="168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项目经理</w:t>
            </w:r>
          </w:p>
        </w:tc>
        <w:tc>
          <w:tcPr>
            <w:tcW w:w="168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营业执照</w:t>
            </w:r>
            <w:r>
              <w:rPr>
                <w:rFonts w:hint="eastAsia" w:ascii="仿宋_GB2312" w:hAnsi="仿宋_GB2312" w:eastAsia="仿宋_GB2312" w:cs="仿宋_GB2312"/>
                <w:sz w:val="28"/>
                <w:szCs w:val="28"/>
              </w:rPr>
              <w:t>号</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680"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Cs/>
                <w:color w:val="000000"/>
                <w:sz w:val="28"/>
                <w:szCs w:val="28"/>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高级职称人员</w:t>
            </w:r>
          </w:p>
        </w:tc>
        <w:tc>
          <w:tcPr>
            <w:tcW w:w="168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注册资金</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680"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Cs/>
                <w:color w:val="000000"/>
                <w:sz w:val="28"/>
                <w:szCs w:val="28"/>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中级职称人员</w:t>
            </w:r>
          </w:p>
        </w:tc>
        <w:tc>
          <w:tcPr>
            <w:tcW w:w="168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开户银行</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680"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Cs/>
                <w:color w:val="000000"/>
                <w:sz w:val="28"/>
                <w:szCs w:val="28"/>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初级职称人员</w:t>
            </w:r>
          </w:p>
        </w:tc>
        <w:tc>
          <w:tcPr>
            <w:tcW w:w="168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账号</w:t>
            </w:r>
          </w:p>
        </w:tc>
        <w:tc>
          <w:tcPr>
            <w:tcW w:w="252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c>
          <w:tcPr>
            <w:tcW w:w="1680" w:type="dxa"/>
            <w:gridSpan w:val="2"/>
            <w:vMerge w:val="continue"/>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bCs/>
                <w:color w:val="000000"/>
                <w:sz w:val="28"/>
                <w:szCs w:val="28"/>
              </w:rPr>
            </w:pPr>
          </w:p>
        </w:tc>
        <w:tc>
          <w:tcPr>
            <w:tcW w:w="1680" w:type="dxa"/>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技工</w:t>
            </w:r>
          </w:p>
        </w:tc>
        <w:tc>
          <w:tcPr>
            <w:tcW w:w="1680"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经营范围</w:t>
            </w:r>
          </w:p>
        </w:tc>
        <w:tc>
          <w:tcPr>
            <w:tcW w:w="7560" w:type="dxa"/>
            <w:gridSpan w:val="10"/>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备注</w:t>
            </w:r>
          </w:p>
        </w:tc>
        <w:tc>
          <w:tcPr>
            <w:tcW w:w="7560" w:type="dxa"/>
            <w:gridSpan w:val="10"/>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bCs/>
                <w:color w:val="000000"/>
                <w:sz w:val="28"/>
                <w:szCs w:val="28"/>
              </w:rPr>
            </w:pPr>
          </w:p>
        </w:tc>
      </w:tr>
    </w:tbl>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法定代表人/单位负责人（签字或盖章）：XXX</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授权代表签字：XXX</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供应商名称：XXX （盖单位公章）</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期：XXX年XXX月XXX日</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六、报价函</w:t>
      </w:r>
    </w:p>
    <w:p>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广元市</w:t>
      </w:r>
      <w:r>
        <w:rPr>
          <w:rFonts w:hint="eastAsia" w:ascii="仿宋_GB2312" w:hAnsi="仿宋_GB2312" w:eastAsia="仿宋_GB2312" w:cs="仿宋_GB2312"/>
          <w:sz w:val="32"/>
          <w:szCs w:val="32"/>
          <w:lang w:val="en-US" w:eastAsia="zh-CN"/>
        </w:rPr>
        <w:t>医疗保障局</w:t>
      </w:r>
      <w:r>
        <w:rPr>
          <w:rFonts w:hint="eastAsia" w:ascii="仿宋_GB2312" w:hAnsi="仿宋_GB2312" w:eastAsia="仿宋_GB2312" w:cs="仿宋_GB2312"/>
          <w:sz w:val="32"/>
          <w:szCs w:val="32"/>
        </w:rPr>
        <w:t>：</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1.我方全面研究了“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”（询价公告名称）的询价文件决定参加贵单位组织的本项目询价报价。</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2.我方自愿按照询价公告规定的各项要求向采购人提供所需货物/服务，报价为¥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3.我方知晓并同意询价公告内容及要求，自愿报价，且报价真实有效，不存在恶意竞争或哄抬价格的情况。</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4.我方愿意提供贵单位可能另外要求的，与报价有关的文件资料，并保证我方已提供和将要提供的文件资料是真实、准确的。</w:t>
      </w: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     （单位公章）</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法定代表人或授权代表（签字或盖章）：</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2"/>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七、报价一览表</w:t>
      </w:r>
    </w:p>
    <w:p>
      <w:pPr>
        <w:pStyle w:val="2"/>
        <w:spacing w:before="0" w:beforeAutospacing="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项目名称：                                            </w:t>
      </w:r>
    </w:p>
    <w:tbl>
      <w:tblPr>
        <w:tblStyle w:val="1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985"/>
        <w:gridCol w:w="1417"/>
        <w:gridCol w:w="1134"/>
        <w:gridCol w:w="1559"/>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71" w:type="dxa"/>
            <w:noWrap/>
            <w:vAlign w:val="center"/>
          </w:tcPr>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序号</w:t>
            </w:r>
          </w:p>
        </w:tc>
        <w:tc>
          <w:tcPr>
            <w:tcW w:w="1985" w:type="dxa"/>
            <w:noWrap/>
            <w:vAlign w:val="center"/>
          </w:tcPr>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服务名称</w:t>
            </w:r>
          </w:p>
        </w:tc>
        <w:tc>
          <w:tcPr>
            <w:tcW w:w="1417" w:type="dxa"/>
            <w:vAlign w:val="center"/>
          </w:tcPr>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数量</w:t>
            </w:r>
          </w:p>
        </w:tc>
        <w:tc>
          <w:tcPr>
            <w:tcW w:w="1134" w:type="dxa"/>
            <w:noWrap/>
            <w:vAlign w:val="center"/>
          </w:tcPr>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单位</w:t>
            </w:r>
          </w:p>
        </w:tc>
        <w:tc>
          <w:tcPr>
            <w:tcW w:w="1559" w:type="dxa"/>
            <w:vAlign w:val="center"/>
          </w:tcPr>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单价（元）</w:t>
            </w:r>
          </w:p>
        </w:tc>
        <w:tc>
          <w:tcPr>
            <w:tcW w:w="1484" w:type="dxa"/>
            <w:vAlign w:val="center"/>
          </w:tcPr>
          <w:p>
            <w:pPr>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271" w:type="dxa"/>
            <w:noWrap/>
            <w:vAlign w:val="center"/>
          </w:tcPr>
          <w:p>
            <w:pPr>
              <w:jc w:val="center"/>
              <w:rPr>
                <w:rFonts w:hint="eastAsia" w:ascii="仿宋_GB2312" w:hAnsi="仿宋_GB2312" w:eastAsia="仿宋_GB2312" w:cs="仿宋_GB2312"/>
                <w:sz w:val="32"/>
                <w:szCs w:val="32"/>
              </w:rPr>
            </w:pPr>
          </w:p>
        </w:tc>
        <w:tc>
          <w:tcPr>
            <w:tcW w:w="1985" w:type="dxa"/>
            <w:noWrap/>
            <w:vAlign w:val="center"/>
          </w:tcPr>
          <w:p>
            <w:pPr>
              <w:jc w:val="center"/>
              <w:rPr>
                <w:rFonts w:hint="eastAsia" w:ascii="仿宋_GB2312" w:hAnsi="仿宋_GB2312" w:eastAsia="仿宋_GB2312" w:cs="仿宋_GB2312"/>
                <w:color w:val="000000"/>
                <w:sz w:val="32"/>
                <w:szCs w:val="32"/>
              </w:rPr>
            </w:pPr>
          </w:p>
        </w:tc>
        <w:tc>
          <w:tcPr>
            <w:tcW w:w="1417" w:type="dxa"/>
            <w:vAlign w:val="center"/>
          </w:tcPr>
          <w:p>
            <w:pPr>
              <w:jc w:val="center"/>
              <w:rPr>
                <w:rFonts w:hint="eastAsia" w:ascii="仿宋_GB2312" w:hAnsi="仿宋_GB2312" w:eastAsia="仿宋_GB2312" w:cs="仿宋_GB2312"/>
                <w:color w:val="000000"/>
                <w:sz w:val="32"/>
                <w:szCs w:val="32"/>
              </w:rPr>
            </w:pPr>
          </w:p>
        </w:tc>
        <w:tc>
          <w:tcPr>
            <w:tcW w:w="1134" w:type="dxa"/>
            <w:noWrap/>
            <w:vAlign w:val="center"/>
          </w:tcPr>
          <w:p>
            <w:pPr>
              <w:jc w:val="center"/>
              <w:rPr>
                <w:rFonts w:hint="eastAsia" w:ascii="仿宋_GB2312" w:hAnsi="仿宋_GB2312" w:eastAsia="仿宋_GB2312" w:cs="仿宋_GB2312"/>
                <w:color w:val="000000"/>
                <w:sz w:val="32"/>
                <w:szCs w:val="32"/>
              </w:rPr>
            </w:pPr>
          </w:p>
        </w:tc>
        <w:tc>
          <w:tcPr>
            <w:tcW w:w="1559" w:type="dxa"/>
            <w:vAlign w:val="center"/>
          </w:tcPr>
          <w:p>
            <w:pPr>
              <w:jc w:val="center"/>
              <w:rPr>
                <w:rFonts w:hint="eastAsia" w:ascii="仿宋_GB2312" w:hAnsi="仿宋_GB2312" w:eastAsia="仿宋_GB2312" w:cs="仿宋_GB2312"/>
                <w:color w:val="000000"/>
                <w:sz w:val="32"/>
                <w:szCs w:val="32"/>
              </w:rPr>
            </w:pPr>
          </w:p>
        </w:tc>
        <w:tc>
          <w:tcPr>
            <w:tcW w:w="1484" w:type="dxa"/>
            <w:vAlign w:val="center"/>
          </w:tcPr>
          <w:p>
            <w:pPr>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noWrap/>
            <w:vAlign w:val="center"/>
          </w:tcPr>
          <w:p>
            <w:pPr>
              <w:jc w:val="center"/>
              <w:rPr>
                <w:rFonts w:hint="eastAsia" w:ascii="仿宋_GB2312" w:hAnsi="仿宋_GB2312" w:eastAsia="仿宋_GB2312" w:cs="仿宋_GB2312"/>
                <w:color w:val="000000"/>
                <w:sz w:val="32"/>
                <w:szCs w:val="32"/>
              </w:rPr>
            </w:pPr>
          </w:p>
        </w:tc>
        <w:tc>
          <w:tcPr>
            <w:tcW w:w="1985" w:type="dxa"/>
            <w:noWrap/>
            <w:vAlign w:val="center"/>
          </w:tcPr>
          <w:p>
            <w:pPr>
              <w:jc w:val="center"/>
              <w:rPr>
                <w:rFonts w:hint="eastAsia" w:ascii="仿宋_GB2312" w:hAnsi="仿宋_GB2312" w:eastAsia="仿宋_GB2312" w:cs="仿宋_GB2312"/>
                <w:color w:val="000000"/>
                <w:sz w:val="32"/>
                <w:szCs w:val="32"/>
              </w:rPr>
            </w:pPr>
          </w:p>
        </w:tc>
        <w:tc>
          <w:tcPr>
            <w:tcW w:w="1417" w:type="dxa"/>
            <w:vAlign w:val="center"/>
          </w:tcPr>
          <w:p>
            <w:pPr>
              <w:jc w:val="center"/>
              <w:rPr>
                <w:rFonts w:hint="eastAsia" w:ascii="仿宋_GB2312" w:hAnsi="仿宋_GB2312" w:eastAsia="仿宋_GB2312" w:cs="仿宋_GB2312"/>
                <w:color w:val="000000"/>
                <w:sz w:val="32"/>
                <w:szCs w:val="32"/>
              </w:rPr>
            </w:pPr>
          </w:p>
        </w:tc>
        <w:tc>
          <w:tcPr>
            <w:tcW w:w="1134" w:type="dxa"/>
            <w:noWrap/>
            <w:vAlign w:val="center"/>
          </w:tcPr>
          <w:p>
            <w:pPr>
              <w:jc w:val="center"/>
              <w:rPr>
                <w:rFonts w:hint="eastAsia" w:ascii="仿宋_GB2312" w:hAnsi="仿宋_GB2312" w:eastAsia="仿宋_GB2312" w:cs="仿宋_GB2312"/>
                <w:color w:val="000000"/>
                <w:sz w:val="32"/>
                <w:szCs w:val="32"/>
              </w:rPr>
            </w:pPr>
          </w:p>
        </w:tc>
        <w:tc>
          <w:tcPr>
            <w:tcW w:w="1559" w:type="dxa"/>
            <w:vAlign w:val="center"/>
          </w:tcPr>
          <w:p>
            <w:pPr>
              <w:jc w:val="center"/>
              <w:rPr>
                <w:rFonts w:hint="eastAsia" w:ascii="仿宋_GB2312" w:hAnsi="仿宋_GB2312" w:eastAsia="仿宋_GB2312" w:cs="仿宋_GB2312"/>
                <w:color w:val="000000"/>
                <w:sz w:val="32"/>
                <w:szCs w:val="32"/>
              </w:rPr>
            </w:pPr>
          </w:p>
        </w:tc>
        <w:tc>
          <w:tcPr>
            <w:tcW w:w="1484" w:type="dxa"/>
            <w:vAlign w:val="center"/>
          </w:tcPr>
          <w:p>
            <w:pPr>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noWrap/>
            <w:vAlign w:val="center"/>
          </w:tcPr>
          <w:p>
            <w:pPr>
              <w:jc w:val="center"/>
              <w:rPr>
                <w:rFonts w:hint="eastAsia" w:ascii="仿宋_GB2312" w:hAnsi="仿宋_GB2312" w:eastAsia="仿宋_GB2312" w:cs="仿宋_GB2312"/>
                <w:color w:val="000000"/>
                <w:sz w:val="32"/>
                <w:szCs w:val="32"/>
              </w:rPr>
            </w:pPr>
          </w:p>
        </w:tc>
        <w:tc>
          <w:tcPr>
            <w:tcW w:w="1985" w:type="dxa"/>
            <w:noWrap/>
            <w:vAlign w:val="center"/>
          </w:tcPr>
          <w:p>
            <w:pPr>
              <w:jc w:val="center"/>
              <w:rPr>
                <w:rFonts w:hint="eastAsia" w:ascii="仿宋_GB2312" w:hAnsi="仿宋_GB2312" w:eastAsia="仿宋_GB2312" w:cs="仿宋_GB2312"/>
                <w:color w:val="000000"/>
                <w:sz w:val="32"/>
                <w:szCs w:val="32"/>
              </w:rPr>
            </w:pPr>
          </w:p>
        </w:tc>
        <w:tc>
          <w:tcPr>
            <w:tcW w:w="1417" w:type="dxa"/>
            <w:vAlign w:val="center"/>
          </w:tcPr>
          <w:p>
            <w:pPr>
              <w:jc w:val="center"/>
              <w:rPr>
                <w:rFonts w:hint="eastAsia" w:ascii="仿宋_GB2312" w:hAnsi="仿宋_GB2312" w:eastAsia="仿宋_GB2312" w:cs="仿宋_GB2312"/>
                <w:color w:val="000000"/>
                <w:sz w:val="32"/>
                <w:szCs w:val="32"/>
              </w:rPr>
            </w:pPr>
          </w:p>
        </w:tc>
        <w:tc>
          <w:tcPr>
            <w:tcW w:w="1134" w:type="dxa"/>
            <w:noWrap/>
            <w:vAlign w:val="center"/>
          </w:tcPr>
          <w:p>
            <w:pPr>
              <w:jc w:val="center"/>
              <w:rPr>
                <w:rFonts w:hint="eastAsia" w:ascii="仿宋_GB2312" w:hAnsi="仿宋_GB2312" w:eastAsia="仿宋_GB2312" w:cs="仿宋_GB2312"/>
                <w:color w:val="000000"/>
                <w:sz w:val="32"/>
                <w:szCs w:val="32"/>
              </w:rPr>
            </w:pPr>
          </w:p>
        </w:tc>
        <w:tc>
          <w:tcPr>
            <w:tcW w:w="1559" w:type="dxa"/>
            <w:vAlign w:val="center"/>
          </w:tcPr>
          <w:p>
            <w:pPr>
              <w:jc w:val="center"/>
              <w:rPr>
                <w:rFonts w:hint="eastAsia" w:ascii="仿宋_GB2312" w:hAnsi="仿宋_GB2312" w:eastAsia="仿宋_GB2312" w:cs="仿宋_GB2312"/>
                <w:color w:val="000000"/>
                <w:sz w:val="32"/>
                <w:szCs w:val="32"/>
              </w:rPr>
            </w:pPr>
          </w:p>
        </w:tc>
        <w:tc>
          <w:tcPr>
            <w:tcW w:w="1484" w:type="dxa"/>
            <w:vAlign w:val="center"/>
          </w:tcPr>
          <w:p>
            <w:pPr>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noWrap/>
            <w:vAlign w:val="center"/>
          </w:tcPr>
          <w:p>
            <w:pPr>
              <w:jc w:val="center"/>
              <w:rPr>
                <w:rFonts w:hint="eastAsia" w:ascii="仿宋_GB2312" w:hAnsi="仿宋_GB2312" w:eastAsia="仿宋_GB2312" w:cs="仿宋_GB2312"/>
                <w:color w:val="000000"/>
                <w:sz w:val="32"/>
                <w:szCs w:val="32"/>
              </w:rPr>
            </w:pPr>
          </w:p>
        </w:tc>
        <w:tc>
          <w:tcPr>
            <w:tcW w:w="1985" w:type="dxa"/>
            <w:noWrap/>
            <w:vAlign w:val="center"/>
          </w:tcPr>
          <w:p>
            <w:pPr>
              <w:jc w:val="center"/>
              <w:rPr>
                <w:rFonts w:hint="eastAsia" w:ascii="仿宋_GB2312" w:hAnsi="仿宋_GB2312" w:eastAsia="仿宋_GB2312" w:cs="仿宋_GB2312"/>
                <w:color w:val="000000"/>
                <w:sz w:val="32"/>
                <w:szCs w:val="32"/>
              </w:rPr>
            </w:pPr>
          </w:p>
        </w:tc>
        <w:tc>
          <w:tcPr>
            <w:tcW w:w="1417" w:type="dxa"/>
            <w:vAlign w:val="center"/>
          </w:tcPr>
          <w:p>
            <w:pPr>
              <w:jc w:val="center"/>
              <w:rPr>
                <w:rFonts w:hint="eastAsia" w:ascii="仿宋_GB2312" w:hAnsi="仿宋_GB2312" w:eastAsia="仿宋_GB2312" w:cs="仿宋_GB2312"/>
                <w:color w:val="000000"/>
                <w:sz w:val="32"/>
                <w:szCs w:val="32"/>
              </w:rPr>
            </w:pPr>
          </w:p>
        </w:tc>
        <w:tc>
          <w:tcPr>
            <w:tcW w:w="1134" w:type="dxa"/>
            <w:noWrap/>
            <w:vAlign w:val="center"/>
          </w:tcPr>
          <w:p>
            <w:pPr>
              <w:jc w:val="center"/>
              <w:rPr>
                <w:rFonts w:hint="eastAsia" w:ascii="仿宋_GB2312" w:hAnsi="仿宋_GB2312" w:eastAsia="仿宋_GB2312" w:cs="仿宋_GB2312"/>
                <w:color w:val="000000"/>
                <w:sz w:val="32"/>
                <w:szCs w:val="32"/>
              </w:rPr>
            </w:pPr>
          </w:p>
        </w:tc>
        <w:tc>
          <w:tcPr>
            <w:tcW w:w="1559" w:type="dxa"/>
            <w:vAlign w:val="center"/>
          </w:tcPr>
          <w:p>
            <w:pPr>
              <w:jc w:val="center"/>
              <w:rPr>
                <w:rFonts w:hint="eastAsia" w:ascii="仿宋_GB2312" w:hAnsi="仿宋_GB2312" w:eastAsia="仿宋_GB2312" w:cs="仿宋_GB2312"/>
                <w:color w:val="000000"/>
                <w:sz w:val="32"/>
                <w:szCs w:val="32"/>
              </w:rPr>
            </w:pPr>
          </w:p>
        </w:tc>
        <w:tc>
          <w:tcPr>
            <w:tcW w:w="1484" w:type="dxa"/>
            <w:vAlign w:val="center"/>
          </w:tcPr>
          <w:p>
            <w:pPr>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noWrap/>
            <w:vAlign w:val="center"/>
          </w:tcPr>
          <w:p>
            <w:pPr>
              <w:jc w:val="center"/>
              <w:rPr>
                <w:rFonts w:hint="eastAsia" w:ascii="仿宋_GB2312" w:hAnsi="仿宋_GB2312" w:eastAsia="仿宋_GB2312" w:cs="仿宋_GB2312"/>
                <w:color w:val="000000"/>
                <w:sz w:val="32"/>
                <w:szCs w:val="32"/>
              </w:rPr>
            </w:pPr>
          </w:p>
        </w:tc>
        <w:tc>
          <w:tcPr>
            <w:tcW w:w="1985" w:type="dxa"/>
            <w:noWrap/>
            <w:vAlign w:val="center"/>
          </w:tcPr>
          <w:p>
            <w:pPr>
              <w:jc w:val="center"/>
              <w:rPr>
                <w:rFonts w:hint="eastAsia" w:ascii="仿宋_GB2312" w:hAnsi="仿宋_GB2312" w:eastAsia="仿宋_GB2312" w:cs="仿宋_GB2312"/>
                <w:color w:val="000000"/>
                <w:sz w:val="32"/>
                <w:szCs w:val="32"/>
              </w:rPr>
            </w:pPr>
          </w:p>
        </w:tc>
        <w:tc>
          <w:tcPr>
            <w:tcW w:w="1417" w:type="dxa"/>
            <w:vAlign w:val="center"/>
          </w:tcPr>
          <w:p>
            <w:pPr>
              <w:jc w:val="center"/>
              <w:rPr>
                <w:rFonts w:hint="eastAsia" w:ascii="仿宋_GB2312" w:hAnsi="仿宋_GB2312" w:eastAsia="仿宋_GB2312" w:cs="仿宋_GB2312"/>
                <w:color w:val="000000"/>
                <w:sz w:val="32"/>
                <w:szCs w:val="32"/>
              </w:rPr>
            </w:pPr>
          </w:p>
        </w:tc>
        <w:tc>
          <w:tcPr>
            <w:tcW w:w="1134" w:type="dxa"/>
            <w:noWrap/>
            <w:vAlign w:val="center"/>
          </w:tcPr>
          <w:p>
            <w:pPr>
              <w:jc w:val="center"/>
              <w:rPr>
                <w:rFonts w:hint="eastAsia" w:ascii="仿宋_GB2312" w:hAnsi="仿宋_GB2312" w:eastAsia="仿宋_GB2312" w:cs="仿宋_GB2312"/>
                <w:color w:val="000000"/>
                <w:sz w:val="32"/>
                <w:szCs w:val="32"/>
              </w:rPr>
            </w:pPr>
          </w:p>
        </w:tc>
        <w:tc>
          <w:tcPr>
            <w:tcW w:w="1559" w:type="dxa"/>
            <w:vAlign w:val="center"/>
          </w:tcPr>
          <w:p>
            <w:pPr>
              <w:jc w:val="center"/>
              <w:rPr>
                <w:rFonts w:hint="eastAsia" w:ascii="仿宋_GB2312" w:hAnsi="仿宋_GB2312" w:eastAsia="仿宋_GB2312" w:cs="仿宋_GB2312"/>
                <w:color w:val="000000"/>
                <w:sz w:val="32"/>
                <w:szCs w:val="32"/>
              </w:rPr>
            </w:pPr>
          </w:p>
        </w:tc>
        <w:tc>
          <w:tcPr>
            <w:tcW w:w="1484" w:type="dxa"/>
            <w:vAlign w:val="center"/>
          </w:tcPr>
          <w:p>
            <w:pPr>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noWrap/>
            <w:vAlign w:val="center"/>
          </w:tcPr>
          <w:p>
            <w:pPr>
              <w:jc w:val="center"/>
              <w:rPr>
                <w:rFonts w:hint="eastAsia" w:ascii="仿宋_GB2312" w:hAnsi="仿宋_GB2312" w:eastAsia="仿宋_GB2312" w:cs="仿宋_GB2312"/>
                <w:color w:val="000000"/>
                <w:sz w:val="32"/>
                <w:szCs w:val="32"/>
              </w:rPr>
            </w:pPr>
          </w:p>
        </w:tc>
        <w:tc>
          <w:tcPr>
            <w:tcW w:w="1985" w:type="dxa"/>
            <w:noWrap/>
            <w:vAlign w:val="center"/>
          </w:tcPr>
          <w:p>
            <w:pPr>
              <w:jc w:val="center"/>
              <w:rPr>
                <w:rFonts w:hint="eastAsia" w:ascii="仿宋_GB2312" w:hAnsi="仿宋_GB2312" w:eastAsia="仿宋_GB2312" w:cs="仿宋_GB2312"/>
                <w:color w:val="000000"/>
                <w:sz w:val="32"/>
                <w:szCs w:val="32"/>
              </w:rPr>
            </w:pPr>
          </w:p>
        </w:tc>
        <w:tc>
          <w:tcPr>
            <w:tcW w:w="1417" w:type="dxa"/>
            <w:vAlign w:val="center"/>
          </w:tcPr>
          <w:p>
            <w:pPr>
              <w:jc w:val="center"/>
              <w:rPr>
                <w:rFonts w:hint="eastAsia" w:ascii="仿宋_GB2312" w:hAnsi="仿宋_GB2312" w:eastAsia="仿宋_GB2312" w:cs="仿宋_GB2312"/>
                <w:color w:val="000000"/>
                <w:sz w:val="32"/>
                <w:szCs w:val="32"/>
              </w:rPr>
            </w:pPr>
          </w:p>
        </w:tc>
        <w:tc>
          <w:tcPr>
            <w:tcW w:w="1134" w:type="dxa"/>
            <w:noWrap/>
            <w:vAlign w:val="center"/>
          </w:tcPr>
          <w:p>
            <w:pPr>
              <w:jc w:val="center"/>
              <w:rPr>
                <w:rFonts w:hint="eastAsia" w:ascii="仿宋_GB2312" w:hAnsi="仿宋_GB2312" w:eastAsia="仿宋_GB2312" w:cs="仿宋_GB2312"/>
                <w:color w:val="000000"/>
                <w:sz w:val="32"/>
                <w:szCs w:val="32"/>
              </w:rPr>
            </w:pPr>
          </w:p>
        </w:tc>
        <w:tc>
          <w:tcPr>
            <w:tcW w:w="1559" w:type="dxa"/>
            <w:vAlign w:val="center"/>
          </w:tcPr>
          <w:p>
            <w:pPr>
              <w:jc w:val="center"/>
              <w:rPr>
                <w:rFonts w:hint="eastAsia" w:ascii="仿宋_GB2312" w:hAnsi="仿宋_GB2312" w:eastAsia="仿宋_GB2312" w:cs="仿宋_GB2312"/>
                <w:color w:val="000000"/>
                <w:sz w:val="32"/>
                <w:szCs w:val="32"/>
              </w:rPr>
            </w:pPr>
          </w:p>
        </w:tc>
        <w:tc>
          <w:tcPr>
            <w:tcW w:w="1484" w:type="dxa"/>
            <w:vAlign w:val="center"/>
          </w:tcPr>
          <w:p>
            <w:pPr>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71" w:type="dxa"/>
            <w:noWrap/>
            <w:vAlign w:val="center"/>
          </w:tcPr>
          <w:p>
            <w:pPr>
              <w:jc w:val="center"/>
              <w:rPr>
                <w:rFonts w:hint="eastAsia" w:ascii="仿宋_GB2312" w:hAnsi="仿宋_GB2312" w:eastAsia="仿宋_GB2312" w:cs="仿宋_GB2312"/>
                <w:color w:val="000000"/>
                <w:sz w:val="32"/>
                <w:szCs w:val="32"/>
              </w:rPr>
            </w:pPr>
          </w:p>
        </w:tc>
        <w:tc>
          <w:tcPr>
            <w:tcW w:w="1985" w:type="dxa"/>
            <w:noWrap/>
            <w:vAlign w:val="center"/>
          </w:tcPr>
          <w:p>
            <w:pPr>
              <w:jc w:val="center"/>
              <w:rPr>
                <w:rFonts w:hint="eastAsia" w:ascii="仿宋_GB2312" w:hAnsi="仿宋_GB2312" w:eastAsia="仿宋_GB2312" w:cs="仿宋_GB2312"/>
                <w:color w:val="000000"/>
                <w:sz w:val="32"/>
                <w:szCs w:val="32"/>
              </w:rPr>
            </w:pPr>
          </w:p>
        </w:tc>
        <w:tc>
          <w:tcPr>
            <w:tcW w:w="1417" w:type="dxa"/>
            <w:vAlign w:val="center"/>
          </w:tcPr>
          <w:p>
            <w:pPr>
              <w:jc w:val="center"/>
              <w:rPr>
                <w:rFonts w:hint="eastAsia" w:ascii="仿宋_GB2312" w:hAnsi="仿宋_GB2312" w:eastAsia="仿宋_GB2312" w:cs="仿宋_GB2312"/>
                <w:color w:val="000000"/>
                <w:sz w:val="32"/>
                <w:szCs w:val="32"/>
              </w:rPr>
            </w:pPr>
          </w:p>
        </w:tc>
        <w:tc>
          <w:tcPr>
            <w:tcW w:w="1134" w:type="dxa"/>
            <w:noWrap/>
            <w:vAlign w:val="center"/>
          </w:tcPr>
          <w:p>
            <w:pPr>
              <w:jc w:val="center"/>
              <w:rPr>
                <w:rFonts w:hint="eastAsia" w:ascii="仿宋_GB2312" w:hAnsi="仿宋_GB2312" w:eastAsia="仿宋_GB2312" w:cs="仿宋_GB2312"/>
                <w:color w:val="000000"/>
                <w:sz w:val="32"/>
                <w:szCs w:val="32"/>
              </w:rPr>
            </w:pPr>
          </w:p>
        </w:tc>
        <w:tc>
          <w:tcPr>
            <w:tcW w:w="1559" w:type="dxa"/>
            <w:vAlign w:val="center"/>
          </w:tcPr>
          <w:p>
            <w:pPr>
              <w:jc w:val="center"/>
              <w:rPr>
                <w:rFonts w:hint="eastAsia" w:ascii="仿宋_GB2312" w:hAnsi="仿宋_GB2312" w:eastAsia="仿宋_GB2312" w:cs="仿宋_GB2312"/>
                <w:color w:val="000000"/>
                <w:sz w:val="32"/>
                <w:szCs w:val="32"/>
              </w:rPr>
            </w:pPr>
          </w:p>
        </w:tc>
        <w:tc>
          <w:tcPr>
            <w:tcW w:w="1484" w:type="dxa"/>
            <w:vAlign w:val="center"/>
          </w:tcPr>
          <w:p>
            <w:pPr>
              <w:jc w:val="center"/>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256" w:type="dxa"/>
            <w:gridSpan w:val="2"/>
            <w:noWrap/>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报价合计¥：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元</w:t>
            </w:r>
          </w:p>
        </w:tc>
        <w:tc>
          <w:tcPr>
            <w:tcW w:w="1417" w:type="dxa"/>
            <w:vAlign w:val="center"/>
          </w:tcPr>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人民币大写</w:t>
            </w:r>
          </w:p>
        </w:tc>
        <w:tc>
          <w:tcPr>
            <w:tcW w:w="4177" w:type="dxa"/>
            <w:gridSpan w:val="3"/>
            <w:noWrap/>
            <w:vAlign w:val="center"/>
          </w:tcPr>
          <w:p>
            <w:pPr>
              <w:jc w:val="center"/>
              <w:rPr>
                <w:rFonts w:hint="eastAsia" w:ascii="仿宋_GB2312" w:hAnsi="仿宋_GB2312" w:eastAsia="仿宋_GB2312" w:cs="仿宋_GB2312"/>
                <w:color w:val="000000"/>
                <w:sz w:val="32"/>
                <w:szCs w:val="32"/>
              </w:rPr>
            </w:pPr>
          </w:p>
        </w:tc>
      </w:tr>
    </w:tbl>
    <w:p>
      <w:pPr>
        <w:spacing w:line="360" w:lineRule="auto"/>
        <w:ind w:left="735" w:hanging="1120" w:hangingChars="3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00" w:lineRule="exact"/>
        <w:rPr>
          <w:rFonts w:hint="eastAsia" w:ascii="仿宋_GB2312" w:hAnsi="仿宋_GB2312" w:eastAsia="仿宋_GB2312" w:cs="仿宋_GB2312"/>
          <w:b/>
          <w:color w:val="0D0D0D"/>
          <w:kern w:val="0"/>
          <w:sz w:val="32"/>
          <w:szCs w:val="32"/>
        </w:rPr>
      </w:pPr>
      <w:r>
        <w:rPr>
          <w:rFonts w:hint="eastAsia" w:ascii="仿宋_GB2312" w:hAnsi="仿宋_GB2312" w:eastAsia="仿宋_GB2312" w:cs="仿宋_GB2312"/>
          <w:b/>
          <w:color w:val="0D0D0D"/>
          <w:kern w:val="0"/>
          <w:sz w:val="32"/>
          <w:szCs w:val="32"/>
        </w:rPr>
        <w:t>注：项目报价应包含质保期内质保服务等等所有其他有关各项的含税费用。</w:t>
      </w:r>
    </w:p>
    <w:p>
      <w:pPr>
        <w:spacing w:line="360" w:lineRule="auto"/>
        <w:ind w:firstLine="405"/>
        <w:rPr>
          <w:rFonts w:hint="eastAsia" w:ascii="仿宋_GB2312" w:hAnsi="仿宋_GB2312" w:eastAsia="仿宋_GB2312" w:cs="仿宋_GB2312"/>
          <w:sz w:val="32"/>
          <w:szCs w:val="32"/>
        </w:rPr>
      </w:pP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供应商名称（盖章）：             </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法定代表人或授权代表（签字或加盖个人名章）：</w:t>
      </w:r>
    </w:p>
    <w:p>
      <w:pPr>
        <w:pStyle w:val="2"/>
        <w:spacing w:before="0" w:beforeAutospacing="0"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w:t>
      </w:r>
    </w:p>
    <w:p>
      <w:pPr>
        <w:pStyle w:val="2"/>
        <w:spacing w:before="0" w:beforeAutospacing="0" w:after="0" w:line="560" w:lineRule="exact"/>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八、其他要求承诺函</w:t>
      </w: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pStyle w:val="2"/>
        <w:spacing w:before="0" w:beforeAutospacing="0" w:after="0" w:line="560" w:lineRule="exact"/>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九、供应商认为需要提供的其他材料</w:t>
      </w:r>
    </w:p>
    <w:p>
      <w:pPr>
        <w:pStyle w:val="2"/>
        <w:spacing w:before="0" w:beforeAutospacing="0" w:after="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w:t>
      </w:r>
    </w:p>
    <w:p>
      <w:pPr>
        <w:pStyle w:val="2"/>
        <w:spacing w:before="0" w:beforeAutospacing="0" w:after="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w:t>
      </w:r>
    </w:p>
    <w:p>
      <w:pPr>
        <w:pStyle w:val="2"/>
        <w:spacing w:before="0" w:beforeAutospacing="0" w:after="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00" w:lineRule="exact"/>
        <w:rPr>
          <w:rFonts w:hint="eastAsia" w:ascii="仿宋_GB2312" w:hAnsi="仿宋_GB2312" w:eastAsia="仿宋_GB2312" w:cs="仿宋_GB2312"/>
          <w:b/>
          <w:color w:val="0D0D0D"/>
          <w:kern w:val="0"/>
          <w:sz w:val="32"/>
          <w:szCs w:val="32"/>
        </w:rPr>
      </w:pPr>
      <w:r>
        <w:rPr>
          <w:rFonts w:hint="eastAsia" w:ascii="仿宋_GB2312" w:hAnsi="仿宋_GB2312" w:eastAsia="仿宋_GB2312" w:cs="仿宋_GB2312"/>
          <w:b/>
          <w:color w:val="0D0D0D"/>
          <w:kern w:val="0"/>
          <w:sz w:val="32"/>
          <w:szCs w:val="32"/>
        </w:rPr>
        <w:t>注：该条内容根据供应商自身条件选择性提供。</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3" w:type="default"/>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B7D30"/>
    <w:multiLevelType w:val="multilevel"/>
    <w:tmpl w:val="039B7D3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B514702"/>
    <w:multiLevelType w:val="multilevel"/>
    <w:tmpl w:val="0B51470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F3227BF"/>
    <w:multiLevelType w:val="multilevel"/>
    <w:tmpl w:val="0F3227B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2737AEA"/>
    <w:multiLevelType w:val="multilevel"/>
    <w:tmpl w:val="12737AE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190A4A1B"/>
    <w:multiLevelType w:val="multilevel"/>
    <w:tmpl w:val="190A4A1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1C5A5A65"/>
    <w:multiLevelType w:val="multilevel"/>
    <w:tmpl w:val="1C5A5A6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29B41545"/>
    <w:multiLevelType w:val="multilevel"/>
    <w:tmpl w:val="29B4154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2CFF7F9F"/>
    <w:multiLevelType w:val="multilevel"/>
    <w:tmpl w:val="2CFF7F9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2F98129E"/>
    <w:multiLevelType w:val="multilevel"/>
    <w:tmpl w:val="2F98129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33F90DB3"/>
    <w:multiLevelType w:val="multilevel"/>
    <w:tmpl w:val="33F90DB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344030BA"/>
    <w:multiLevelType w:val="multilevel"/>
    <w:tmpl w:val="344030B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1">
    <w:nsid w:val="37A32EDE"/>
    <w:multiLevelType w:val="multilevel"/>
    <w:tmpl w:val="37A32EDE"/>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0D310BC"/>
    <w:multiLevelType w:val="multilevel"/>
    <w:tmpl w:val="40D310B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3">
    <w:nsid w:val="41B90CE3"/>
    <w:multiLevelType w:val="multilevel"/>
    <w:tmpl w:val="41B90CE3"/>
    <w:lvl w:ilvl="0" w:tentative="0">
      <w:start w:val="1"/>
      <w:numFmt w:val="decimal"/>
      <w:lvlText w:val="%1."/>
      <w:lvlJc w:val="left"/>
      <w:pPr>
        <w:ind w:left="0" w:firstLine="0"/>
      </w:pPr>
      <w:rPr>
        <w:rFonts w:hint="eastAsia"/>
      </w:rPr>
    </w:lvl>
    <w:lvl w:ilvl="1" w:tentative="0">
      <w:start w:val="1"/>
      <w:numFmt w:val="decimal"/>
      <w:pStyle w:val="4"/>
      <w:lvlText w:val="%1.%2"/>
      <w:lvlJc w:val="left"/>
      <w:pPr>
        <w:ind w:left="0" w:firstLine="0"/>
      </w:pPr>
      <w:rPr>
        <w:rFonts w:hint="eastAsia"/>
      </w:r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4">
    <w:nsid w:val="433F106C"/>
    <w:multiLevelType w:val="multilevel"/>
    <w:tmpl w:val="433F106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5">
    <w:nsid w:val="45AD2F3B"/>
    <w:multiLevelType w:val="multilevel"/>
    <w:tmpl w:val="45AD2F3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6">
    <w:nsid w:val="4A9749AC"/>
    <w:multiLevelType w:val="multilevel"/>
    <w:tmpl w:val="4A9749AC"/>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18033BE"/>
    <w:multiLevelType w:val="multilevel"/>
    <w:tmpl w:val="618033B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7FB93F46"/>
    <w:multiLevelType w:val="multilevel"/>
    <w:tmpl w:val="7FB93F4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3"/>
  </w:num>
  <w:num w:numId="2">
    <w:abstractNumId w:val="16"/>
  </w:num>
  <w:num w:numId="3">
    <w:abstractNumId w:val="17"/>
  </w:num>
  <w:num w:numId="4">
    <w:abstractNumId w:val="7"/>
  </w:num>
  <w:num w:numId="5">
    <w:abstractNumId w:val="15"/>
  </w:num>
  <w:num w:numId="6">
    <w:abstractNumId w:val="8"/>
  </w:num>
  <w:num w:numId="7">
    <w:abstractNumId w:val="4"/>
  </w:num>
  <w:num w:numId="8">
    <w:abstractNumId w:val="12"/>
  </w:num>
  <w:num w:numId="9">
    <w:abstractNumId w:val="6"/>
  </w:num>
  <w:num w:numId="10">
    <w:abstractNumId w:val="1"/>
  </w:num>
  <w:num w:numId="11">
    <w:abstractNumId w:val="5"/>
  </w:num>
  <w:num w:numId="12">
    <w:abstractNumId w:val="14"/>
  </w:num>
  <w:num w:numId="13">
    <w:abstractNumId w:val="18"/>
  </w:num>
  <w:num w:numId="14">
    <w:abstractNumId w:val="10"/>
  </w:num>
  <w:num w:numId="15">
    <w:abstractNumId w:val="9"/>
  </w:num>
  <w:num w:numId="16">
    <w:abstractNumId w:val="0"/>
  </w:num>
  <w:num w:numId="17">
    <w:abstractNumId w:val="3"/>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1NmY4N2QzMGQyNGY4MTVlNmNlMjgzN2YwN2RiZGIifQ=="/>
  </w:docVars>
  <w:rsids>
    <w:rsidRoot w:val="7ABA2C47"/>
    <w:rsid w:val="15340F89"/>
    <w:rsid w:val="330A4CD4"/>
    <w:rsid w:val="3EE5603F"/>
    <w:rsid w:val="4A9033FC"/>
    <w:rsid w:val="62D84CC4"/>
    <w:rsid w:val="7ABA2C47"/>
    <w:rsid w:val="7C75011B"/>
    <w:rsid w:val="A5FF30A2"/>
    <w:rsid w:val="B6FE15B9"/>
    <w:rsid w:val="EFFDA631"/>
    <w:rsid w:val="FBEFF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numPr>
        <w:ilvl w:val="1"/>
        <w:numId w:val="1"/>
      </w:numPr>
      <w:spacing w:before="260" w:after="260" w:line="415" w:lineRule="auto"/>
      <w:ind w:firstLineChars="0"/>
      <w:outlineLvl w:val="1"/>
    </w:pPr>
    <w:rPr>
      <w:rFonts w:ascii="Cambria" w:hAnsi="Cambria"/>
      <w:b/>
      <w:bCs/>
      <w:sz w:val="32"/>
      <w:szCs w:val="32"/>
    </w:rPr>
  </w:style>
  <w:style w:type="paragraph" w:styleId="5">
    <w:name w:val="heading 3"/>
    <w:basedOn w:val="1"/>
    <w:next w:val="6"/>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sz w:val="21"/>
    </w:rPr>
  </w:style>
  <w:style w:type="paragraph" w:styleId="3">
    <w:name w:val="Subtitle"/>
    <w:basedOn w:val="1"/>
    <w:next w:val="1"/>
    <w:qFormat/>
    <w:uiPriority w:val="99"/>
    <w:pPr>
      <w:spacing w:before="240" w:after="60" w:line="312" w:lineRule="auto"/>
      <w:jc w:val="center"/>
      <w:outlineLvl w:val="1"/>
    </w:pPr>
    <w:rPr>
      <w:rFonts w:ascii="Arial" w:hAnsi="Arial" w:cs="Arial"/>
      <w:b/>
      <w:bCs/>
      <w:kern w:val="28"/>
      <w:sz w:val="32"/>
      <w:szCs w:val="32"/>
    </w:rPr>
  </w:style>
  <w:style w:type="paragraph" w:styleId="6">
    <w:name w:val="Body Text First Indent"/>
    <w:basedOn w:val="2"/>
    <w:unhideWhenUsed/>
    <w:qFormat/>
    <w:uiPriority w:val="0"/>
    <w:pPr>
      <w:spacing w:after="0"/>
    </w:pPr>
  </w:style>
  <w:style w:type="paragraph" w:styleId="7">
    <w:name w:val="Normal Indent"/>
    <w:basedOn w:val="1"/>
    <w:qFormat/>
    <w:uiPriority w:val="0"/>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spacing w:before="120" w:after="120"/>
      <w:jc w:val="left"/>
    </w:pPr>
    <w:rPr>
      <w:rFonts w:ascii="等线" w:eastAsia="等线"/>
      <w:b/>
      <w:bCs/>
      <w:caps/>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List Paragraph"/>
    <w:basedOn w:val="1"/>
    <w:qFormat/>
    <w:uiPriority w:val="99"/>
    <w:pPr>
      <w:spacing w:before="50" w:beforeLines="50" w:after="50" w:afterLines="50"/>
      <w:ind w:firstLine="42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2024-02-26T11:26:00Z</dcterms:created>
  <dc:creator>blessedness</dc:creator>
  <cp:lastModifiedBy>qhtf</cp:lastModifiedBy>
  <dcterms:modified xsi:type="dcterms:W3CDTF">2024-02-26T16:21:28Z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EE080D1E912B06EB084ADC65F422D029</vt:lpwstr>
  </property>
</Properties>
</file>